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36" w:rsidRDefault="000B2117">
      <w:pPr>
        <w:tabs>
          <w:tab w:val="left" w:pos="3600"/>
        </w:tabs>
        <w:ind w:left="3600" w:hanging="3600"/>
        <w:jc w:val="center"/>
        <w:rPr>
          <w:b/>
          <w:i/>
          <w:smallCaps/>
        </w:rPr>
      </w:pPr>
      <w:r w:rsidRPr="000B2117">
        <w:rPr>
          <w:b/>
          <w:i/>
          <w:smallCaps/>
        </w:rPr>
        <w:t xml:space="preserve">ROSEBURG AREA ANGEL INVESTOR NETWORK </w:t>
      </w:r>
      <w:r w:rsidR="007C0487">
        <w:rPr>
          <w:b/>
          <w:i/>
          <w:smallCaps/>
        </w:rPr>
        <w:t>2014</w:t>
      </w:r>
      <w:r w:rsidRPr="000B2117">
        <w:rPr>
          <w:b/>
          <w:i/>
          <w:smallCaps/>
        </w:rPr>
        <w:t>, LLC</w:t>
      </w:r>
    </w:p>
    <w:p w:rsidR="00F23136" w:rsidRDefault="00F23136">
      <w:pPr>
        <w:tabs>
          <w:tab w:val="left" w:pos="3600"/>
        </w:tabs>
        <w:ind w:left="3600" w:hanging="3600"/>
        <w:jc w:val="center"/>
        <w:rPr>
          <w:b/>
          <w:smallCaps/>
        </w:rPr>
      </w:pPr>
      <w:r>
        <w:rPr>
          <w:b/>
          <w:smallCaps/>
        </w:rPr>
        <w:t>Convertible Loan Term Sheet</w:t>
      </w:r>
    </w:p>
    <w:p w:rsidR="00F23136" w:rsidRDefault="00F23136">
      <w:pPr>
        <w:tabs>
          <w:tab w:val="left" w:pos="3600"/>
        </w:tabs>
        <w:ind w:left="3600" w:hanging="3600"/>
        <w:rPr>
          <w:sz w:val="20"/>
        </w:rPr>
      </w:pPr>
    </w:p>
    <w:p w:rsidR="00F23136" w:rsidRDefault="00F23136">
      <w:pPr>
        <w:pBdr>
          <w:top w:val="single" w:sz="6" w:space="1" w:color="auto"/>
          <w:left w:val="single" w:sz="6" w:space="1" w:color="auto"/>
          <w:bottom w:val="single" w:sz="6" w:space="1" w:color="auto"/>
          <w:right w:val="single" w:sz="6" w:space="1" w:color="auto"/>
        </w:pBdr>
        <w:tabs>
          <w:tab w:val="left" w:pos="5040"/>
          <w:tab w:val="left" w:pos="5760"/>
          <w:tab w:val="left" w:pos="6480"/>
          <w:tab w:val="left" w:pos="7200"/>
          <w:tab w:val="left" w:pos="7920"/>
          <w:tab w:val="left" w:pos="8640"/>
          <w:tab w:val="left" w:pos="10080"/>
        </w:tabs>
        <w:overflowPunct w:val="0"/>
        <w:autoSpaceDE w:val="0"/>
        <w:autoSpaceDN w:val="0"/>
        <w:adjustRightInd w:val="0"/>
        <w:ind w:right="-720"/>
        <w:rPr>
          <w:rFonts w:eastAsia="Times New Roman"/>
          <w:smallCaps/>
          <w:sz w:val="20"/>
        </w:rPr>
      </w:pPr>
      <w:r>
        <w:rPr>
          <w:b/>
          <w:smallCaps/>
          <w:sz w:val="20"/>
        </w:rPr>
        <w:t xml:space="preserve">This term sheet summarizes the principal terms of the potential investment in the company that is selected </w:t>
      </w:r>
      <w:r w:rsidR="007C0487">
        <w:rPr>
          <w:b/>
          <w:smallCaps/>
          <w:sz w:val="20"/>
        </w:rPr>
        <w:t>for investment by</w:t>
      </w:r>
      <w:r>
        <w:rPr>
          <w:b/>
          <w:smallCaps/>
          <w:sz w:val="20"/>
        </w:rPr>
        <w:t xml:space="preserve"> the </w:t>
      </w:r>
      <w:r w:rsidR="000B2117" w:rsidRPr="000B2117">
        <w:rPr>
          <w:b/>
          <w:smallCaps/>
          <w:sz w:val="20"/>
        </w:rPr>
        <w:t>ROSEBURG AREA ANGEL INVESTOR NETWORK</w:t>
      </w:r>
      <w:r w:rsidR="000B2117">
        <w:rPr>
          <w:b/>
          <w:smallCaps/>
          <w:sz w:val="20"/>
        </w:rPr>
        <w:t xml:space="preserve"> </w:t>
      </w:r>
      <w:r w:rsidR="007C0487">
        <w:rPr>
          <w:b/>
          <w:smallCaps/>
          <w:sz w:val="20"/>
        </w:rPr>
        <w:t>2014, LLC</w:t>
      </w:r>
      <w:r>
        <w:rPr>
          <w:b/>
          <w:smallCaps/>
          <w:sz w:val="20"/>
        </w:rPr>
        <w:t>.  The purpose of this term sheet is to provide the basis for possible investment; there is no obligation on the part of any negotiating party until a definitive note purchase agreement is signed by all parties.  This term sheet is subject to the satisfactory completion of due diligence.  This term sheet does not constitute either an offer to sell or an offer to purchase securities.</w:t>
      </w:r>
    </w:p>
    <w:p w:rsidR="00F23136" w:rsidRDefault="00F23136">
      <w:pPr>
        <w:tabs>
          <w:tab w:val="left" w:pos="-1980"/>
        </w:tabs>
        <w:rPr>
          <w:sz w:val="20"/>
        </w:rPr>
      </w:pPr>
    </w:p>
    <w:tbl>
      <w:tblPr>
        <w:tblW w:w="10008" w:type="dxa"/>
        <w:tblLayout w:type="fixed"/>
        <w:tblLook w:val="0000"/>
      </w:tblPr>
      <w:tblGrid>
        <w:gridCol w:w="1818"/>
        <w:gridCol w:w="8190"/>
      </w:tblGrid>
      <w:tr w:rsidR="00F23136" w:rsidRPr="00801EAE">
        <w:trPr>
          <w:trHeight w:val="828"/>
        </w:trPr>
        <w:tc>
          <w:tcPr>
            <w:tcW w:w="1818" w:type="dxa"/>
          </w:tcPr>
          <w:p w:rsidR="00F23136" w:rsidRPr="00801EAE" w:rsidRDefault="00F23136">
            <w:pPr>
              <w:tabs>
                <w:tab w:val="left" w:pos="-1980"/>
              </w:tabs>
              <w:spacing w:after="240"/>
              <w:rPr>
                <w:b/>
                <w:sz w:val="20"/>
              </w:rPr>
            </w:pPr>
            <w:r w:rsidRPr="00801EAE">
              <w:rPr>
                <w:b/>
                <w:sz w:val="20"/>
              </w:rPr>
              <w:t>Amount of Convertible Loan:</w:t>
            </w:r>
          </w:p>
        </w:tc>
        <w:tc>
          <w:tcPr>
            <w:tcW w:w="8190" w:type="dxa"/>
          </w:tcPr>
          <w:p w:rsidR="00F23136" w:rsidRPr="00801EAE" w:rsidRDefault="00F23136" w:rsidP="00F23136">
            <w:pPr>
              <w:tabs>
                <w:tab w:val="left" w:pos="-1548"/>
              </w:tabs>
              <w:spacing w:after="240"/>
              <w:ind w:right="612"/>
              <w:rPr>
                <w:sz w:val="20"/>
              </w:rPr>
            </w:pPr>
            <w:r w:rsidRPr="00801EAE">
              <w:rPr>
                <w:sz w:val="20"/>
              </w:rPr>
              <w:t>Minimum of $</w:t>
            </w:r>
            <w:r w:rsidRPr="00801EAE">
              <w:rPr>
                <w:sz w:val="20"/>
                <w:u w:val="single"/>
              </w:rPr>
              <w:t>75,000</w:t>
            </w:r>
            <w:r w:rsidRPr="00801EAE">
              <w:rPr>
                <w:sz w:val="20"/>
              </w:rPr>
              <w:t xml:space="preserve"> (the "</w:t>
            </w:r>
            <w:r w:rsidRPr="00801EAE">
              <w:rPr>
                <w:b/>
                <w:i/>
                <w:sz w:val="20"/>
                <w:u w:val="single"/>
              </w:rPr>
              <w:t>Loan Amount</w:t>
            </w:r>
            <w:r w:rsidRPr="00801EAE">
              <w:rPr>
                <w:sz w:val="20"/>
              </w:rPr>
              <w:t xml:space="preserve">") from </w:t>
            </w:r>
            <w:r w:rsidR="000B2117" w:rsidRPr="000B2117">
              <w:rPr>
                <w:sz w:val="20"/>
              </w:rPr>
              <w:t xml:space="preserve">ROSEBURG </w:t>
            </w:r>
            <w:r w:rsidR="007C0487">
              <w:rPr>
                <w:sz w:val="20"/>
              </w:rPr>
              <w:t>AREA ANGEL INVESTOR NETWORK 2014</w:t>
            </w:r>
            <w:r w:rsidR="000B2117" w:rsidRPr="000B2117">
              <w:rPr>
                <w:sz w:val="20"/>
              </w:rPr>
              <w:t>, LLC</w:t>
            </w:r>
            <w:r w:rsidRPr="00801EAE">
              <w:rPr>
                <w:sz w:val="20"/>
              </w:rPr>
              <w:t xml:space="preserve"> (the "</w:t>
            </w:r>
            <w:r w:rsidRPr="00801EAE">
              <w:rPr>
                <w:b/>
                <w:i/>
                <w:sz w:val="20"/>
                <w:u w:val="single"/>
              </w:rPr>
              <w:t>Investor</w:t>
            </w:r>
            <w:r w:rsidRPr="00801EAE">
              <w:rPr>
                <w:sz w:val="20"/>
              </w:rPr>
              <w:t>").  At Closing, a convertible promissory note (the "</w:t>
            </w:r>
            <w:r w:rsidRPr="00801EAE">
              <w:rPr>
                <w:b/>
                <w:i/>
                <w:sz w:val="20"/>
                <w:u w:val="single"/>
              </w:rPr>
              <w:t>Note</w:t>
            </w:r>
            <w:r w:rsidRPr="00801EAE">
              <w:rPr>
                <w:sz w:val="20"/>
              </w:rPr>
              <w:t xml:space="preserve">") will be issued to the Investor for cash equal to the principal balance of the Note.  </w:t>
            </w:r>
          </w:p>
        </w:tc>
      </w:tr>
      <w:tr w:rsidR="00F23136" w:rsidRPr="00801EAE">
        <w:trPr>
          <w:trHeight w:val="531"/>
        </w:trPr>
        <w:tc>
          <w:tcPr>
            <w:tcW w:w="1818" w:type="dxa"/>
          </w:tcPr>
          <w:p w:rsidR="00F23136" w:rsidRPr="00801EAE" w:rsidRDefault="00F23136">
            <w:pPr>
              <w:tabs>
                <w:tab w:val="left" w:pos="-1980"/>
              </w:tabs>
              <w:spacing w:after="240"/>
              <w:rPr>
                <w:b/>
                <w:sz w:val="20"/>
              </w:rPr>
            </w:pPr>
            <w:r w:rsidRPr="00801EAE">
              <w:rPr>
                <w:b/>
                <w:sz w:val="20"/>
              </w:rPr>
              <w:t>Company Structure and Existing Financing:</w:t>
            </w:r>
          </w:p>
        </w:tc>
        <w:tc>
          <w:tcPr>
            <w:tcW w:w="8190" w:type="dxa"/>
          </w:tcPr>
          <w:p w:rsidR="00F23136" w:rsidRPr="00801EAE" w:rsidRDefault="00F23136" w:rsidP="00F23136">
            <w:pPr>
              <w:tabs>
                <w:tab w:val="left" w:pos="-1980"/>
              </w:tabs>
              <w:spacing w:after="240"/>
              <w:rPr>
                <w:sz w:val="20"/>
              </w:rPr>
            </w:pPr>
            <w:r w:rsidRPr="00801EAE">
              <w:rPr>
                <w:sz w:val="20"/>
              </w:rPr>
              <w:t xml:space="preserve">This Term Sheet assumes the </w:t>
            </w:r>
            <w:r w:rsidR="00BC5626">
              <w:rPr>
                <w:sz w:val="20"/>
              </w:rPr>
              <w:t>company receiving the Loan Amount (the</w:t>
            </w:r>
            <w:r w:rsidR="007C0487">
              <w:rPr>
                <w:sz w:val="20"/>
              </w:rPr>
              <w:t xml:space="preserve"> </w:t>
            </w:r>
            <w:r w:rsidR="00BC5626">
              <w:rPr>
                <w:sz w:val="20"/>
              </w:rPr>
              <w:t>"</w:t>
            </w:r>
            <w:r w:rsidRPr="00801EAE">
              <w:rPr>
                <w:sz w:val="20"/>
              </w:rPr>
              <w:t>Company</w:t>
            </w:r>
            <w:r w:rsidR="00BC5626">
              <w:rPr>
                <w:sz w:val="20"/>
              </w:rPr>
              <w:t>")</w:t>
            </w:r>
            <w:r w:rsidRPr="00801EAE">
              <w:rPr>
                <w:sz w:val="20"/>
              </w:rPr>
              <w:t xml:space="preserve"> is a “C” corporation or is ready to become a “C” corporation prior to the Closing of the financin</w:t>
            </w:r>
            <w:r>
              <w:rPr>
                <w:sz w:val="20"/>
              </w:rPr>
              <w:t>g, and does not have a</w:t>
            </w:r>
            <w:r w:rsidRPr="00801EAE">
              <w:rPr>
                <w:sz w:val="20"/>
              </w:rPr>
              <w:t xml:space="preserve"> financing in progress.</w:t>
            </w:r>
            <w:r>
              <w:rPr>
                <w:sz w:val="20"/>
              </w:rPr>
              <w:t xml:space="preserve">  If the Company has a</w:t>
            </w:r>
            <w:r w:rsidRPr="00801EAE">
              <w:rPr>
                <w:sz w:val="20"/>
              </w:rPr>
              <w:t xml:space="preserve"> financing in progress, the Investor will inve</w:t>
            </w:r>
            <w:r>
              <w:rPr>
                <w:sz w:val="20"/>
              </w:rPr>
              <w:t>st on the terms of such</w:t>
            </w:r>
            <w:r w:rsidRPr="00801EAE">
              <w:rPr>
                <w:sz w:val="20"/>
              </w:rPr>
              <w:t xml:space="preserve"> financing, rather than the terms set forth herein, so long as such terms are reasonable in the sole discretion of the Investor.</w:t>
            </w:r>
          </w:p>
        </w:tc>
      </w:tr>
      <w:tr w:rsidR="00F23136" w:rsidRPr="00801EAE">
        <w:trPr>
          <w:trHeight w:val="621"/>
        </w:trPr>
        <w:tc>
          <w:tcPr>
            <w:tcW w:w="1818" w:type="dxa"/>
          </w:tcPr>
          <w:p w:rsidR="00F23136" w:rsidRPr="00801EAE" w:rsidRDefault="00F23136">
            <w:pPr>
              <w:tabs>
                <w:tab w:val="left" w:pos="-1980"/>
              </w:tabs>
              <w:spacing w:after="240"/>
              <w:rPr>
                <w:b/>
                <w:sz w:val="20"/>
              </w:rPr>
            </w:pPr>
            <w:r w:rsidRPr="00801EAE">
              <w:rPr>
                <w:b/>
                <w:sz w:val="20"/>
              </w:rPr>
              <w:t>Closing:</w:t>
            </w:r>
          </w:p>
        </w:tc>
        <w:tc>
          <w:tcPr>
            <w:tcW w:w="8190" w:type="dxa"/>
          </w:tcPr>
          <w:p w:rsidR="00F23136" w:rsidRPr="00801EAE" w:rsidRDefault="00F23136" w:rsidP="007C0487">
            <w:pPr>
              <w:tabs>
                <w:tab w:val="left" w:pos="-1980"/>
              </w:tabs>
              <w:spacing w:after="240"/>
              <w:rPr>
                <w:sz w:val="20"/>
              </w:rPr>
            </w:pPr>
            <w:r w:rsidRPr="00801EAE">
              <w:rPr>
                <w:sz w:val="20"/>
              </w:rPr>
              <w:t>The closing by the Investor (the "</w:t>
            </w:r>
            <w:r w:rsidRPr="00801EAE">
              <w:rPr>
                <w:b/>
                <w:i/>
                <w:sz w:val="20"/>
                <w:u w:val="single"/>
              </w:rPr>
              <w:t>Closing</w:t>
            </w:r>
            <w:r w:rsidRPr="00801EAE">
              <w:rPr>
                <w:sz w:val="20"/>
              </w:rPr>
              <w:t>") will occur no later than sixty (60) days after the 201</w:t>
            </w:r>
            <w:r w:rsidR="007C0487">
              <w:rPr>
                <w:sz w:val="20"/>
              </w:rPr>
              <w:t>4</w:t>
            </w:r>
            <w:r>
              <w:rPr>
                <w:sz w:val="20"/>
              </w:rPr>
              <w:t xml:space="preserve"> </w:t>
            </w:r>
            <w:r w:rsidR="000B2117">
              <w:rPr>
                <w:sz w:val="20"/>
              </w:rPr>
              <w:t xml:space="preserve">Roseburg </w:t>
            </w:r>
            <w:r w:rsidR="0052180F">
              <w:rPr>
                <w:sz w:val="20"/>
              </w:rPr>
              <w:t>Conference</w:t>
            </w:r>
            <w:r w:rsidRPr="00801EAE">
              <w:rPr>
                <w:sz w:val="20"/>
              </w:rPr>
              <w:t xml:space="preserve">.   Investor retains the right to cease negotiations with the Company </w:t>
            </w:r>
            <w:r>
              <w:rPr>
                <w:sz w:val="20"/>
              </w:rPr>
              <w:t xml:space="preserve">if </w:t>
            </w:r>
            <w:r w:rsidRPr="00801EAE">
              <w:rPr>
                <w:sz w:val="20"/>
              </w:rPr>
              <w:t>negotiations are not, in the sole discretion</w:t>
            </w:r>
            <w:r>
              <w:rPr>
                <w:sz w:val="20"/>
              </w:rPr>
              <w:t xml:space="preserve"> of the Investor, leading to a </w:t>
            </w:r>
            <w:r w:rsidRPr="00801EAE">
              <w:rPr>
                <w:sz w:val="20"/>
              </w:rPr>
              <w:t>Closing within this timeframe.   The Company will provide to Investor, on a timely basis, due diligence items requested by the Investor, and be available to answer questions which may arise about the Company.</w:t>
            </w:r>
          </w:p>
        </w:tc>
      </w:tr>
      <w:tr w:rsidR="00F23136" w:rsidRPr="00801EAE">
        <w:trPr>
          <w:trHeight w:val="720"/>
        </w:trPr>
        <w:tc>
          <w:tcPr>
            <w:tcW w:w="1818" w:type="dxa"/>
          </w:tcPr>
          <w:p w:rsidR="00F23136" w:rsidRPr="00801EAE" w:rsidRDefault="00F23136">
            <w:pPr>
              <w:tabs>
                <w:tab w:val="left" w:pos="-1980"/>
              </w:tabs>
              <w:spacing w:after="240"/>
              <w:rPr>
                <w:b/>
                <w:sz w:val="20"/>
              </w:rPr>
            </w:pPr>
            <w:r w:rsidRPr="00801EAE">
              <w:rPr>
                <w:b/>
                <w:sz w:val="20"/>
              </w:rPr>
              <w:t>Subordination:</w:t>
            </w:r>
          </w:p>
        </w:tc>
        <w:tc>
          <w:tcPr>
            <w:tcW w:w="8190" w:type="dxa"/>
          </w:tcPr>
          <w:p w:rsidR="00F23136" w:rsidRPr="00801EAE" w:rsidRDefault="00F23136">
            <w:pPr>
              <w:spacing w:after="240"/>
              <w:ind w:right="432"/>
              <w:rPr>
                <w:sz w:val="20"/>
              </w:rPr>
            </w:pPr>
            <w:r w:rsidRPr="00801EAE">
              <w:rPr>
                <w:sz w:val="20"/>
              </w:rPr>
              <w:t xml:space="preserve">The Notes will not be </w:t>
            </w:r>
            <w:proofErr w:type="gramStart"/>
            <w:r w:rsidRPr="00801EAE">
              <w:rPr>
                <w:sz w:val="20"/>
              </w:rPr>
              <w:t>secured,</w:t>
            </w:r>
            <w:proofErr w:type="gramEnd"/>
            <w:r w:rsidRPr="00801EAE">
              <w:rPr>
                <w:sz w:val="20"/>
              </w:rPr>
              <w:t xml:space="preserve"> however, the Company covenants not to grant any liens on its intellectual property while the Notes are outstanding.  The Notes will be senior to all creditors, except for commercial</w:t>
            </w:r>
            <w:r>
              <w:rPr>
                <w:sz w:val="20"/>
              </w:rPr>
              <w:t xml:space="preserve"> bank loans or equipment leases.</w:t>
            </w:r>
          </w:p>
        </w:tc>
      </w:tr>
      <w:tr w:rsidR="00F23136" w:rsidRPr="00801EAE">
        <w:trPr>
          <w:trHeight w:val="540"/>
        </w:trPr>
        <w:tc>
          <w:tcPr>
            <w:tcW w:w="1818" w:type="dxa"/>
          </w:tcPr>
          <w:p w:rsidR="00F23136" w:rsidRPr="00801EAE" w:rsidRDefault="00F23136">
            <w:pPr>
              <w:tabs>
                <w:tab w:val="left" w:pos="-1980"/>
              </w:tabs>
              <w:spacing w:after="240"/>
              <w:rPr>
                <w:b/>
                <w:sz w:val="20"/>
              </w:rPr>
            </w:pPr>
            <w:r w:rsidRPr="00801EAE">
              <w:rPr>
                <w:b/>
                <w:sz w:val="20"/>
              </w:rPr>
              <w:t>Use of Funds:</w:t>
            </w:r>
          </w:p>
        </w:tc>
        <w:tc>
          <w:tcPr>
            <w:tcW w:w="8190" w:type="dxa"/>
          </w:tcPr>
          <w:p w:rsidR="00F23136" w:rsidRPr="00801EAE" w:rsidRDefault="00F23136" w:rsidP="00F23136">
            <w:pPr>
              <w:tabs>
                <w:tab w:val="left" w:pos="-1980"/>
              </w:tabs>
              <w:spacing w:after="240"/>
              <w:rPr>
                <w:sz w:val="20"/>
              </w:rPr>
            </w:pPr>
            <w:r w:rsidRPr="00801EAE">
              <w:rPr>
                <w:sz w:val="20"/>
              </w:rPr>
              <w:t>Working capital to support the growth of the Company.  The proceeds from the sale of the Note shall not be used to repay existing loans, pay deferred or accrued compensation or pay past due trade payables.</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Interest:</w:t>
            </w:r>
          </w:p>
        </w:tc>
        <w:tc>
          <w:tcPr>
            <w:tcW w:w="8190" w:type="dxa"/>
          </w:tcPr>
          <w:p w:rsidR="00F23136" w:rsidRPr="00801EAE" w:rsidRDefault="00F23136" w:rsidP="00F23136">
            <w:pPr>
              <w:tabs>
                <w:tab w:val="left" w:pos="-1980"/>
              </w:tabs>
              <w:spacing w:after="240"/>
              <w:rPr>
                <w:sz w:val="20"/>
              </w:rPr>
            </w:pPr>
            <w:r w:rsidRPr="00801EAE">
              <w:rPr>
                <w:sz w:val="20"/>
              </w:rPr>
              <w:t>Simple interest will accrue at the rate of 10% per annum and will be payable upon maturity.</w:t>
            </w:r>
            <w:r w:rsidR="003C797C">
              <w:rPr>
                <w:sz w:val="20"/>
              </w:rPr>
              <w:t xml:space="preserve"> On or after an event of default under the Note, or after the Maturity Date, all accrued interest will become part of the principal amount and interest will accrue o</w:t>
            </w:r>
            <w:r w:rsidR="00AD7F03">
              <w:rPr>
                <w:sz w:val="20"/>
              </w:rPr>
              <w:t>n</w:t>
            </w:r>
            <w:r w:rsidR="003C797C">
              <w:rPr>
                <w:sz w:val="20"/>
              </w:rPr>
              <w:t xml:space="preserve"> the unpaid principal amount at 15% per annum or the maximum interest rate permitted by law, whichever is less.</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Maturity Date:</w:t>
            </w:r>
          </w:p>
        </w:tc>
        <w:tc>
          <w:tcPr>
            <w:tcW w:w="8190" w:type="dxa"/>
          </w:tcPr>
          <w:p w:rsidR="00F23136" w:rsidRPr="00801EAE" w:rsidRDefault="00F23136" w:rsidP="00F23136">
            <w:pPr>
              <w:tabs>
                <w:tab w:val="left" w:pos="-1980"/>
              </w:tabs>
              <w:spacing w:after="240"/>
              <w:rPr>
                <w:sz w:val="20"/>
              </w:rPr>
            </w:pPr>
            <w:r w:rsidRPr="00801EAE">
              <w:rPr>
                <w:sz w:val="20"/>
              </w:rPr>
              <w:t>The Note will be</w:t>
            </w:r>
            <w:r>
              <w:rPr>
                <w:sz w:val="20"/>
              </w:rPr>
              <w:t xml:space="preserve"> due </w:t>
            </w:r>
            <w:r w:rsidR="003C797C">
              <w:rPr>
                <w:sz w:val="20"/>
              </w:rPr>
              <w:t>eighteen (</w:t>
            </w:r>
            <w:r>
              <w:rPr>
                <w:sz w:val="20"/>
              </w:rPr>
              <w:t>18</w:t>
            </w:r>
            <w:r w:rsidR="003C797C">
              <w:rPr>
                <w:sz w:val="20"/>
              </w:rPr>
              <w:t>)</w:t>
            </w:r>
            <w:r>
              <w:rPr>
                <w:sz w:val="20"/>
              </w:rPr>
              <w:t xml:space="preserve"> months from the date of</w:t>
            </w:r>
            <w:r w:rsidRPr="00801EAE">
              <w:rPr>
                <w:sz w:val="20"/>
              </w:rPr>
              <w:t xml:space="preserve"> Closing (the “</w:t>
            </w:r>
            <w:r w:rsidRPr="00801EAE">
              <w:rPr>
                <w:b/>
                <w:i/>
                <w:sz w:val="20"/>
                <w:u w:val="single"/>
              </w:rPr>
              <w:t>Maturity Date</w:t>
            </w:r>
            <w:r w:rsidRPr="00801EAE">
              <w:rPr>
                <w:sz w:val="20"/>
              </w:rPr>
              <w:t>”), or earlier upon a default or an acquisition of the Company.  The Investor, in its sole discretion, may choose to extend the term of the Note upon written notice to the Company prior to the Maturity Date.</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Conversion:</w:t>
            </w:r>
          </w:p>
        </w:tc>
        <w:tc>
          <w:tcPr>
            <w:tcW w:w="8190" w:type="dxa"/>
          </w:tcPr>
          <w:p w:rsidR="00F23136" w:rsidRDefault="00F23136">
            <w:pPr>
              <w:pStyle w:val="p5"/>
              <w:tabs>
                <w:tab w:val="clear" w:pos="760"/>
                <w:tab w:val="clear" w:pos="1500"/>
              </w:tabs>
              <w:spacing w:line="240" w:lineRule="auto"/>
              <w:ind w:left="0" w:firstLine="0"/>
              <w:rPr>
                <w:rFonts w:ascii="Cambria" w:hAnsi="Cambria"/>
                <w:sz w:val="20"/>
              </w:rPr>
            </w:pPr>
            <w:r w:rsidRPr="002326DB">
              <w:rPr>
                <w:rFonts w:ascii="Cambria" w:hAnsi="Cambria"/>
                <w:sz w:val="20"/>
                <w:u w:val="single"/>
              </w:rPr>
              <w:t>Future Financing: Optional Conversion</w:t>
            </w:r>
            <w:r w:rsidRPr="002326DB">
              <w:rPr>
                <w:rFonts w:ascii="Cambria" w:hAnsi="Cambria"/>
                <w:sz w:val="20"/>
              </w:rPr>
              <w:t>.  The Note and accrued interest will be convertible at the option of the Investor into shares of equity of the next class or series issued by the Company (the "</w:t>
            </w:r>
            <w:r w:rsidRPr="002326DB">
              <w:rPr>
                <w:rFonts w:ascii="Cambria" w:hAnsi="Cambria"/>
                <w:b/>
                <w:i/>
                <w:sz w:val="20"/>
                <w:u w:val="single"/>
              </w:rPr>
              <w:t>Next Equity Financing</w:t>
            </w:r>
            <w:r w:rsidRPr="002326DB">
              <w:rPr>
                <w:rFonts w:ascii="Cambria" w:hAnsi="Cambria"/>
                <w:sz w:val="20"/>
              </w:rPr>
              <w:t>") at a conver</w:t>
            </w:r>
            <w:r>
              <w:rPr>
                <w:rFonts w:ascii="Cambria" w:hAnsi="Cambria"/>
                <w:sz w:val="20"/>
              </w:rPr>
              <w:t>sion price equal to: (a) if the conversion occurs before the end of the 18th month after Closing, 75</w:t>
            </w:r>
            <w:r w:rsidRPr="002326DB">
              <w:rPr>
                <w:rFonts w:ascii="Cambria" w:hAnsi="Cambria"/>
                <w:sz w:val="20"/>
              </w:rPr>
              <w:t>% of the issue price of the shares sold in the Next Equity Financing</w:t>
            </w:r>
            <w:r>
              <w:rPr>
                <w:rFonts w:ascii="Cambria" w:hAnsi="Cambria"/>
                <w:sz w:val="20"/>
              </w:rPr>
              <w:t xml:space="preserve">, or (b) if the conversion occurs </w:t>
            </w:r>
            <w:r w:rsidRPr="002326DB">
              <w:rPr>
                <w:rFonts w:ascii="Cambria" w:hAnsi="Cambria"/>
                <w:sz w:val="20"/>
              </w:rPr>
              <w:t xml:space="preserve">after Maturity Date, 70% of the issue price of the shares sold in the Next Equity Financing; </w:t>
            </w:r>
            <w:r>
              <w:rPr>
                <w:rFonts w:ascii="Cambria" w:hAnsi="Cambria"/>
                <w:sz w:val="20"/>
              </w:rPr>
              <w:t>but in no event will the conversion price exceed</w:t>
            </w:r>
            <w:r w:rsidRPr="002326DB">
              <w:rPr>
                <w:rFonts w:ascii="Cambria" w:hAnsi="Cambria"/>
                <w:sz w:val="20"/>
              </w:rPr>
              <w:t xml:space="preserve"> a price which reflects a pre-money valuation of $5 million on a fully diluted basis (the "</w:t>
            </w:r>
            <w:r w:rsidRPr="002326DB">
              <w:rPr>
                <w:rFonts w:ascii="Cambria" w:hAnsi="Cambria"/>
                <w:b/>
                <w:i/>
                <w:sz w:val="20"/>
                <w:u w:val="single"/>
              </w:rPr>
              <w:t>Conversion Price</w:t>
            </w:r>
            <w:r w:rsidRPr="002326DB">
              <w:rPr>
                <w:rFonts w:ascii="Cambria" w:hAnsi="Cambria"/>
                <w:sz w:val="20"/>
              </w:rPr>
              <w:t xml:space="preserve">"), and otherwise on the same terms and conditions applicable to the other purchasers. </w:t>
            </w:r>
          </w:p>
          <w:p w:rsidR="00F23136" w:rsidRDefault="00F23136">
            <w:pPr>
              <w:pStyle w:val="p5"/>
              <w:tabs>
                <w:tab w:val="clear" w:pos="760"/>
                <w:tab w:val="clear" w:pos="1500"/>
              </w:tabs>
              <w:spacing w:line="240" w:lineRule="auto"/>
              <w:ind w:left="0" w:firstLine="0"/>
              <w:rPr>
                <w:rFonts w:ascii="Cambria" w:hAnsi="Cambria"/>
                <w:sz w:val="20"/>
              </w:rPr>
            </w:pPr>
          </w:p>
          <w:p w:rsidR="00F23136" w:rsidRDefault="00F23136">
            <w:pPr>
              <w:pStyle w:val="p5"/>
              <w:tabs>
                <w:tab w:val="clear" w:pos="760"/>
                <w:tab w:val="clear" w:pos="1500"/>
              </w:tabs>
              <w:spacing w:line="240" w:lineRule="auto"/>
              <w:ind w:left="0" w:firstLine="0"/>
              <w:rPr>
                <w:rFonts w:ascii="Cambria" w:hAnsi="Cambria"/>
                <w:sz w:val="20"/>
              </w:rPr>
            </w:pPr>
            <w:r w:rsidRPr="002326DB">
              <w:rPr>
                <w:rFonts w:ascii="Cambria" w:hAnsi="Cambria"/>
                <w:sz w:val="20"/>
                <w:u w:val="single"/>
              </w:rPr>
              <w:lastRenderedPageBreak/>
              <w:t>Future Financing: Mandatory Conversion</w:t>
            </w:r>
            <w:r w:rsidRPr="002326DB">
              <w:rPr>
                <w:rFonts w:ascii="Cambria" w:hAnsi="Cambria"/>
                <w:sz w:val="20"/>
              </w:rPr>
              <w:t>.  If the Company's Next Equity Financing raises at least $500,000, is led by a venture capital firm or an angel investment group experienced in investing in startup companies, and takes the form of a priced preferred stock financing with industry standard terms and conditions (a "</w:t>
            </w:r>
            <w:r w:rsidRPr="002326DB">
              <w:rPr>
                <w:rFonts w:ascii="Cambria" w:hAnsi="Cambria"/>
                <w:b/>
                <w:i/>
                <w:sz w:val="20"/>
                <w:u w:val="single"/>
              </w:rPr>
              <w:t>Qualified Equity Financing</w:t>
            </w:r>
            <w:r w:rsidRPr="002326DB">
              <w:rPr>
                <w:rFonts w:ascii="Cambria" w:hAnsi="Cambria"/>
                <w:sz w:val="20"/>
              </w:rPr>
              <w:t xml:space="preserve">"), the Note and accrued interest will automatically convert into shares issued in the Next Equity Financing upon its initial closing at the </w:t>
            </w:r>
            <w:r w:rsidRPr="002326DB">
              <w:rPr>
                <w:rFonts w:ascii="Cambria" w:hAnsi="Cambria"/>
                <w:b/>
                <w:i/>
                <w:sz w:val="20"/>
              </w:rPr>
              <w:t>Conversion Price</w:t>
            </w:r>
            <w:r w:rsidRPr="002326DB">
              <w:rPr>
                <w:rFonts w:ascii="Cambria" w:hAnsi="Cambria"/>
                <w:sz w:val="20"/>
              </w:rPr>
              <w:t xml:space="preserve"> </w:t>
            </w:r>
            <w:r>
              <w:rPr>
                <w:rFonts w:ascii="Cambria" w:hAnsi="Cambria"/>
                <w:sz w:val="20"/>
              </w:rPr>
              <w:t xml:space="preserve">(at discounted price defined above) </w:t>
            </w:r>
            <w:r w:rsidRPr="002326DB">
              <w:rPr>
                <w:rFonts w:ascii="Cambria" w:hAnsi="Cambria"/>
                <w:sz w:val="20"/>
              </w:rPr>
              <w:t xml:space="preserve">and otherwise on the same terms and conditions applicable to the other purchasers in such Qualified Equity Financing. </w:t>
            </w:r>
          </w:p>
          <w:p w:rsidR="00F23136" w:rsidRDefault="00F23136">
            <w:pPr>
              <w:pStyle w:val="p5"/>
              <w:tabs>
                <w:tab w:val="clear" w:pos="760"/>
                <w:tab w:val="clear" w:pos="1500"/>
              </w:tabs>
              <w:spacing w:line="240" w:lineRule="auto"/>
              <w:ind w:left="0" w:firstLine="0"/>
              <w:rPr>
                <w:rFonts w:ascii="Cambria" w:hAnsi="Cambria"/>
                <w:b/>
              </w:rPr>
            </w:pPr>
          </w:p>
          <w:p w:rsidR="00F23136" w:rsidRDefault="00F23136">
            <w:pPr>
              <w:pStyle w:val="p5"/>
              <w:tabs>
                <w:tab w:val="clear" w:pos="760"/>
                <w:tab w:val="clear" w:pos="1500"/>
              </w:tabs>
              <w:spacing w:line="240" w:lineRule="auto"/>
              <w:ind w:left="0" w:firstLine="0"/>
              <w:rPr>
                <w:rFonts w:ascii="Cambria" w:hAnsi="Cambria"/>
                <w:sz w:val="20"/>
              </w:rPr>
            </w:pPr>
            <w:r w:rsidRPr="002326DB">
              <w:rPr>
                <w:rFonts w:ascii="Cambria" w:hAnsi="Cambria"/>
                <w:sz w:val="20"/>
                <w:u w:val="single"/>
              </w:rPr>
              <w:t xml:space="preserve">Optional Conversion into </w:t>
            </w:r>
            <w:r>
              <w:rPr>
                <w:rFonts w:ascii="Cambria" w:hAnsi="Cambria"/>
                <w:sz w:val="20"/>
                <w:u w:val="single"/>
              </w:rPr>
              <w:t>Equity</w:t>
            </w:r>
            <w:r w:rsidRPr="002326DB">
              <w:rPr>
                <w:rFonts w:ascii="Cambria" w:hAnsi="Cambria"/>
                <w:sz w:val="20"/>
              </w:rPr>
              <w:t xml:space="preserve">.  The Note will be convertible into shares of the Company’s Common Stock at any time while </w:t>
            </w:r>
            <w:r>
              <w:rPr>
                <w:rFonts w:ascii="Cambria" w:hAnsi="Cambria"/>
                <w:sz w:val="20"/>
              </w:rPr>
              <w:t>the</w:t>
            </w:r>
            <w:r w:rsidRPr="002326DB">
              <w:rPr>
                <w:rFonts w:ascii="Cambria" w:hAnsi="Cambria"/>
                <w:sz w:val="20"/>
              </w:rPr>
              <w:t xml:space="preserve"> Note is outstanding, </w:t>
            </w:r>
            <w:r>
              <w:rPr>
                <w:rFonts w:ascii="Cambria" w:hAnsi="Cambria"/>
                <w:sz w:val="20"/>
              </w:rPr>
              <w:t>at the option of</w:t>
            </w:r>
            <w:r w:rsidRPr="002326DB">
              <w:rPr>
                <w:rFonts w:ascii="Cambria" w:hAnsi="Cambria"/>
                <w:sz w:val="20"/>
              </w:rPr>
              <w:t xml:space="preserve"> the Investor.  </w:t>
            </w:r>
            <w:r>
              <w:rPr>
                <w:rFonts w:ascii="Cambria" w:hAnsi="Cambria"/>
                <w:sz w:val="20"/>
              </w:rPr>
              <w:t>The Note will</w:t>
            </w:r>
            <w:r w:rsidRPr="002326DB">
              <w:rPr>
                <w:rFonts w:ascii="Cambria" w:hAnsi="Cambria"/>
                <w:sz w:val="20"/>
              </w:rPr>
              <w:t xml:space="preserve"> convert into that number of shares of the Company’s Common Stock equal to the quotient obtained by dividing (</w:t>
            </w:r>
            <w:proofErr w:type="spellStart"/>
            <w:r w:rsidRPr="002326DB">
              <w:rPr>
                <w:rFonts w:ascii="Cambria" w:hAnsi="Cambria"/>
                <w:sz w:val="20"/>
              </w:rPr>
              <w:t>i</w:t>
            </w:r>
            <w:proofErr w:type="spellEnd"/>
            <w:r w:rsidRPr="002326DB">
              <w:rPr>
                <w:rFonts w:ascii="Cambria" w:hAnsi="Cambria"/>
                <w:sz w:val="20"/>
              </w:rPr>
              <w:t>) the aggregate amount of principal and accrued interest due under this Note, by (ii) the fair market value of the Company’s Common Stock (the “</w:t>
            </w:r>
            <w:r w:rsidRPr="000B2117">
              <w:rPr>
                <w:rFonts w:ascii="Cambria" w:hAnsi="Cambria"/>
                <w:b/>
                <w:i/>
                <w:sz w:val="20"/>
                <w:u w:val="single"/>
              </w:rPr>
              <w:t>Common Issue Price</w:t>
            </w:r>
            <w:r w:rsidRPr="002326DB">
              <w:rPr>
                <w:rFonts w:ascii="Cambria" w:hAnsi="Cambria"/>
                <w:sz w:val="20"/>
              </w:rPr>
              <w:t>”).  The Common Issue Price shall be</w:t>
            </w:r>
            <w:r>
              <w:rPr>
                <w:rFonts w:ascii="Cambria" w:hAnsi="Cambria"/>
                <w:sz w:val="20"/>
              </w:rPr>
              <w:t xml:space="preserve"> equal to, at the Investor’s option, either</w:t>
            </w:r>
            <w:r w:rsidRPr="002326DB">
              <w:rPr>
                <w:rFonts w:ascii="Cambria" w:hAnsi="Cambria"/>
                <w:sz w:val="20"/>
              </w:rPr>
              <w:t xml:space="preserve"> </w:t>
            </w:r>
            <w:r>
              <w:rPr>
                <w:rFonts w:ascii="Cambria" w:hAnsi="Cambria"/>
                <w:sz w:val="20"/>
              </w:rPr>
              <w:t>(A)</w:t>
            </w:r>
            <w:r w:rsidRPr="002326DB">
              <w:rPr>
                <w:rFonts w:ascii="Cambria" w:hAnsi="Cambria"/>
                <w:sz w:val="20"/>
              </w:rPr>
              <w:t xml:space="preserve"> the fair market value </w:t>
            </w:r>
            <w:r>
              <w:rPr>
                <w:rFonts w:ascii="Cambria" w:hAnsi="Cambria"/>
                <w:sz w:val="20"/>
              </w:rPr>
              <w:t xml:space="preserve">as </w:t>
            </w:r>
            <w:r w:rsidRPr="002326DB">
              <w:rPr>
                <w:rFonts w:ascii="Cambria" w:hAnsi="Cambria"/>
                <w:sz w:val="20"/>
              </w:rPr>
              <w:t xml:space="preserve">determined </w:t>
            </w:r>
            <w:r>
              <w:rPr>
                <w:rFonts w:ascii="Cambria" w:hAnsi="Cambria"/>
                <w:sz w:val="20"/>
              </w:rPr>
              <w:t>by an independent certified business valuation expert (with ASA or ABV credential) selected by the Company from among a list of three experts provided by the Investor</w:t>
            </w:r>
            <w:r w:rsidRPr="002326DB">
              <w:rPr>
                <w:rFonts w:ascii="Cambria" w:hAnsi="Cambria"/>
                <w:sz w:val="20"/>
              </w:rPr>
              <w:t xml:space="preserve">, </w:t>
            </w:r>
            <w:r>
              <w:rPr>
                <w:rFonts w:ascii="Cambria" w:hAnsi="Cambria"/>
                <w:sz w:val="20"/>
              </w:rPr>
              <w:t>or</w:t>
            </w:r>
            <w:r w:rsidRPr="006F68CA">
              <w:rPr>
                <w:rFonts w:ascii="Cambria" w:hAnsi="Cambria"/>
                <w:sz w:val="20"/>
              </w:rPr>
              <w:t xml:space="preserve"> (B) </w:t>
            </w:r>
            <w:r>
              <w:rPr>
                <w:rFonts w:ascii="Cambria" w:hAnsi="Cambria"/>
                <w:sz w:val="20"/>
              </w:rPr>
              <w:t>the issue price of most recently issued equity in the Next Equity Financing at the issue price paid for such shares and on the same terms and conditions applicable to the investors purchasing such shares.</w:t>
            </w:r>
            <w:r w:rsidRPr="006F68CA" w:rsidDel="00E93A23">
              <w:rPr>
                <w:rFonts w:ascii="Cambria" w:hAnsi="Cambria"/>
                <w:sz w:val="20"/>
              </w:rPr>
              <w:t xml:space="preserve"> </w:t>
            </w:r>
          </w:p>
          <w:p w:rsidR="00F23136" w:rsidRDefault="00F23136">
            <w:pPr>
              <w:pStyle w:val="p5"/>
              <w:tabs>
                <w:tab w:val="clear" w:pos="760"/>
                <w:tab w:val="clear" w:pos="1500"/>
              </w:tabs>
              <w:spacing w:line="240" w:lineRule="auto"/>
              <w:ind w:left="0" w:firstLine="0"/>
              <w:rPr>
                <w:rFonts w:ascii="Cambria" w:hAnsi="Cambria"/>
                <w:sz w:val="20"/>
              </w:rPr>
            </w:pPr>
          </w:p>
          <w:p w:rsidR="00F23136" w:rsidRDefault="00F23136">
            <w:pPr>
              <w:pStyle w:val="p5"/>
              <w:tabs>
                <w:tab w:val="clear" w:pos="760"/>
                <w:tab w:val="clear" w:pos="1500"/>
              </w:tabs>
              <w:spacing w:line="240" w:lineRule="auto"/>
              <w:ind w:left="0" w:firstLine="0"/>
              <w:rPr>
                <w:sz w:val="20"/>
              </w:rPr>
            </w:pPr>
            <w:r w:rsidRPr="002326DB">
              <w:rPr>
                <w:rFonts w:ascii="Cambria" w:hAnsi="Cambria"/>
                <w:sz w:val="20"/>
              </w:rPr>
              <w:t>If the Note has not converted to equity prior to the Maturity Date and the Investor has not otherwise converted the Note into equity, the amount of the Note and accrued interest will be due and payable on the Maturity Date.</w:t>
            </w:r>
            <w:r>
              <w:rPr>
                <w:sz w:val="20"/>
              </w:rPr>
              <w:t xml:space="preserve">  </w:t>
            </w:r>
          </w:p>
          <w:p w:rsidR="00F23136" w:rsidRPr="00E65450" w:rsidRDefault="00F23136" w:rsidP="00F23136">
            <w:pPr>
              <w:pStyle w:val="p5"/>
              <w:tabs>
                <w:tab w:val="clear" w:pos="760"/>
                <w:tab w:val="clear" w:pos="1500"/>
              </w:tabs>
              <w:spacing w:line="276" w:lineRule="auto"/>
              <w:ind w:left="0" w:firstLine="0"/>
              <w:rPr>
                <w:rFonts w:ascii="Times New Roman" w:hAnsi="Times New Roman"/>
                <w:sz w:val="20"/>
              </w:rPr>
            </w:pPr>
          </w:p>
        </w:tc>
      </w:tr>
      <w:tr w:rsidR="00F23136" w:rsidRPr="00801EAE">
        <w:tc>
          <w:tcPr>
            <w:tcW w:w="1818" w:type="dxa"/>
          </w:tcPr>
          <w:p w:rsidR="00F23136" w:rsidRPr="00801EAE" w:rsidRDefault="00F23136">
            <w:pPr>
              <w:tabs>
                <w:tab w:val="left" w:pos="-1980"/>
              </w:tabs>
              <w:spacing w:after="240"/>
              <w:rPr>
                <w:b/>
                <w:sz w:val="20"/>
              </w:rPr>
            </w:pPr>
            <w:r w:rsidRPr="00801EAE">
              <w:rPr>
                <w:b/>
                <w:sz w:val="20"/>
              </w:rPr>
              <w:lastRenderedPageBreak/>
              <w:t>Prepayment:</w:t>
            </w:r>
          </w:p>
        </w:tc>
        <w:tc>
          <w:tcPr>
            <w:tcW w:w="8190" w:type="dxa"/>
          </w:tcPr>
          <w:p w:rsidR="00F23136" w:rsidRPr="00801EAE" w:rsidRDefault="00F23136">
            <w:pPr>
              <w:tabs>
                <w:tab w:val="left" w:pos="-1980"/>
              </w:tabs>
              <w:spacing w:after="240"/>
              <w:rPr>
                <w:sz w:val="20"/>
              </w:rPr>
            </w:pPr>
            <w:r w:rsidRPr="00801EAE">
              <w:rPr>
                <w:sz w:val="20"/>
              </w:rPr>
              <w:t>No prepayment without the prior written consent of the Investor.</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Protective Provisions</w:t>
            </w:r>
          </w:p>
        </w:tc>
        <w:tc>
          <w:tcPr>
            <w:tcW w:w="8190" w:type="dxa"/>
          </w:tcPr>
          <w:p w:rsidR="00F23136" w:rsidRPr="00801EAE" w:rsidRDefault="00F23136">
            <w:pPr>
              <w:rPr>
                <w:sz w:val="20"/>
              </w:rPr>
            </w:pPr>
            <w:r w:rsidRPr="00801EAE">
              <w:rPr>
                <w:sz w:val="20"/>
              </w:rPr>
              <w:t xml:space="preserve">Approval of a majority of the </w:t>
            </w:r>
            <w:r w:rsidR="00BC5626">
              <w:rPr>
                <w:sz w:val="20"/>
              </w:rPr>
              <w:t xml:space="preserve">Voting </w:t>
            </w:r>
            <w:r w:rsidRPr="00801EAE">
              <w:rPr>
                <w:sz w:val="20"/>
              </w:rPr>
              <w:t xml:space="preserve">Units of the Investor </w:t>
            </w:r>
            <w:r>
              <w:rPr>
                <w:sz w:val="20"/>
              </w:rPr>
              <w:t xml:space="preserve">or the Investor’s board representative </w:t>
            </w:r>
            <w:r w:rsidRPr="00801EAE">
              <w:rPr>
                <w:sz w:val="20"/>
              </w:rPr>
              <w:t>will be required for any:</w:t>
            </w:r>
          </w:p>
          <w:p w:rsidR="00F23136" w:rsidRPr="00801EAE" w:rsidRDefault="00F23136">
            <w:pPr>
              <w:rPr>
                <w:sz w:val="20"/>
              </w:rPr>
            </w:pPr>
          </w:p>
          <w:p w:rsidR="00F23136" w:rsidRPr="00801EAE" w:rsidRDefault="00F23136" w:rsidP="00F23136">
            <w:pPr>
              <w:pStyle w:val="ListParagraph"/>
              <w:numPr>
                <w:ilvl w:val="0"/>
                <w:numId w:val="28"/>
              </w:numPr>
              <w:rPr>
                <w:sz w:val="20"/>
              </w:rPr>
            </w:pPr>
            <w:r w:rsidRPr="00801EAE">
              <w:rPr>
                <w:sz w:val="20"/>
              </w:rPr>
              <w:t>Sale, merger, consolidation, license, transfer, liquidation, dissolution, recapitalization or reorganization of the Company or all or substantially all of its assets.</w:t>
            </w:r>
          </w:p>
          <w:p w:rsidR="00F23136" w:rsidRPr="00801EAE" w:rsidRDefault="00F23136" w:rsidP="00F23136">
            <w:pPr>
              <w:pStyle w:val="ListParagraph"/>
              <w:numPr>
                <w:ilvl w:val="0"/>
                <w:numId w:val="28"/>
              </w:numPr>
              <w:rPr>
                <w:sz w:val="20"/>
              </w:rPr>
            </w:pPr>
            <w:r w:rsidRPr="00801EAE">
              <w:rPr>
                <w:sz w:val="20"/>
              </w:rPr>
              <w:t>Amendments to the Company’s Articles of Incorporation or Bylaws that could adversely affect the rights of the Investor.</w:t>
            </w:r>
          </w:p>
          <w:p w:rsidR="00F23136" w:rsidRPr="00801EAE" w:rsidRDefault="00F23136" w:rsidP="00F23136">
            <w:pPr>
              <w:pStyle w:val="ListParagraph"/>
              <w:numPr>
                <w:ilvl w:val="0"/>
                <w:numId w:val="28"/>
              </w:numPr>
              <w:rPr>
                <w:sz w:val="20"/>
              </w:rPr>
            </w:pPr>
            <w:r w:rsidRPr="00801EAE">
              <w:rPr>
                <w:sz w:val="20"/>
              </w:rPr>
              <w:t>Insider transactions (including compensation to employee shareholders), unless approved by a majority of the disinterested outside directors.</w:t>
            </w:r>
          </w:p>
          <w:p w:rsidR="00F23136" w:rsidRPr="00801EAE" w:rsidRDefault="00F23136" w:rsidP="00F23136">
            <w:pPr>
              <w:pStyle w:val="ListParagraph"/>
              <w:numPr>
                <w:ilvl w:val="0"/>
                <w:numId w:val="28"/>
              </w:numPr>
              <w:rPr>
                <w:sz w:val="20"/>
              </w:rPr>
            </w:pPr>
            <w:r w:rsidRPr="00801EAE">
              <w:rPr>
                <w:sz w:val="20"/>
              </w:rPr>
              <w:t>Repurchases or redemptions of equity securities, or payment of dividends or other distributions of equity securities.</w:t>
            </w:r>
          </w:p>
          <w:p w:rsidR="00F23136" w:rsidRPr="00801EAE" w:rsidRDefault="00F23136" w:rsidP="00F23136">
            <w:pPr>
              <w:pStyle w:val="ListParagraph"/>
              <w:numPr>
                <w:ilvl w:val="0"/>
                <w:numId w:val="28"/>
              </w:numPr>
              <w:rPr>
                <w:sz w:val="20"/>
              </w:rPr>
            </w:pPr>
            <w:r w:rsidRPr="00801EAE">
              <w:rPr>
                <w:sz w:val="20"/>
              </w:rPr>
              <w:t>Acquisition of any com</w:t>
            </w:r>
            <w:r>
              <w:rPr>
                <w:sz w:val="20"/>
              </w:rPr>
              <w:t xml:space="preserve">pany’s securities or assets; </w:t>
            </w:r>
          </w:p>
          <w:p w:rsidR="00F23136" w:rsidRDefault="00F23136" w:rsidP="00F23136">
            <w:pPr>
              <w:pStyle w:val="ListParagraph"/>
              <w:numPr>
                <w:ilvl w:val="0"/>
                <w:numId w:val="28"/>
              </w:numPr>
              <w:rPr>
                <w:sz w:val="20"/>
              </w:rPr>
            </w:pPr>
            <w:r w:rsidRPr="00801EAE">
              <w:rPr>
                <w:sz w:val="20"/>
              </w:rPr>
              <w:t>Material change to Company’s core business strate</w:t>
            </w:r>
            <w:r>
              <w:rPr>
                <w:sz w:val="20"/>
              </w:rPr>
              <w:t>gy or its declared use of funds; or</w:t>
            </w:r>
          </w:p>
          <w:p w:rsidR="00F23136" w:rsidRPr="00F778A3" w:rsidRDefault="00F23136" w:rsidP="00F23136">
            <w:pPr>
              <w:pStyle w:val="ListParagraph"/>
              <w:numPr>
                <w:ilvl w:val="0"/>
                <w:numId w:val="28"/>
              </w:numPr>
              <w:rPr>
                <w:sz w:val="20"/>
              </w:rPr>
            </w:pPr>
            <w:r>
              <w:rPr>
                <w:sz w:val="20"/>
              </w:rPr>
              <w:t xml:space="preserve">Compensation decisions for key employees or payment of salaries </w:t>
            </w:r>
            <w:r w:rsidR="00BC5626">
              <w:rPr>
                <w:sz w:val="20"/>
              </w:rPr>
              <w:t xml:space="preserve">to any employee </w:t>
            </w:r>
            <w:r>
              <w:rPr>
                <w:sz w:val="20"/>
              </w:rPr>
              <w:t>in excess of $100,000.</w:t>
            </w:r>
          </w:p>
          <w:p w:rsidR="00F23136" w:rsidRPr="00801EAE" w:rsidRDefault="00F23136" w:rsidP="00F23136">
            <w:pPr>
              <w:rPr>
                <w:sz w:val="20"/>
              </w:rPr>
            </w:pPr>
          </w:p>
        </w:tc>
      </w:tr>
      <w:tr w:rsidR="00F23136" w:rsidRPr="00801EAE">
        <w:tc>
          <w:tcPr>
            <w:tcW w:w="1818" w:type="dxa"/>
          </w:tcPr>
          <w:p w:rsidR="00F23136" w:rsidRPr="00801EAE" w:rsidRDefault="00F23136">
            <w:pPr>
              <w:tabs>
                <w:tab w:val="left" w:pos="-1980"/>
              </w:tabs>
              <w:spacing w:after="240"/>
              <w:rPr>
                <w:b/>
                <w:sz w:val="20"/>
              </w:rPr>
            </w:pPr>
            <w:r w:rsidRPr="00801EAE">
              <w:rPr>
                <w:b/>
                <w:sz w:val="20"/>
              </w:rPr>
              <w:t>Acquisition Following Note Repayment</w:t>
            </w:r>
          </w:p>
        </w:tc>
        <w:tc>
          <w:tcPr>
            <w:tcW w:w="8190" w:type="dxa"/>
          </w:tcPr>
          <w:p w:rsidR="00F23136" w:rsidRPr="00801EAE" w:rsidRDefault="00F23136">
            <w:pPr>
              <w:rPr>
                <w:sz w:val="20"/>
              </w:rPr>
            </w:pPr>
            <w:r w:rsidRPr="00801EAE">
              <w:rPr>
                <w:sz w:val="20"/>
              </w:rPr>
              <w:t>If the Company i</w:t>
            </w:r>
            <w:r>
              <w:rPr>
                <w:sz w:val="20"/>
              </w:rPr>
              <w:t>s acquired during the twenty-four (24</w:t>
            </w:r>
            <w:r w:rsidRPr="00801EAE">
              <w:rPr>
                <w:sz w:val="20"/>
              </w:rPr>
              <w:t xml:space="preserve">) months following full repayment of all amounts due under the Note, the Company shall pay the Investor, within thirty (30) days following the closing of such acquisition, an amount determined as follows: 1.5X the original principal balance of the Note for </w:t>
            </w:r>
            <w:r>
              <w:rPr>
                <w:sz w:val="20"/>
              </w:rPr>
              <w:t>an acquisition closed within twelve (12</w:t>
            </w:r>
            <w:r w:rsidRPr="00801EAE">
              <w:rPr>
                <w:sz w:val="20"/>
              </w:rPr>
              <w:t xml:space="preserve">) months of Note repayment; 1.0X the original principal balance of the Note for an acquisition closed </w:t>
            </w:r>
            <w:r>
              <w:rPr>
                <w:sz w:val="20"/>
              </w:rPr>
              <w:t>between twelve (12) to</w:t>
            </w:r>
            <w:r w:rsidRPr="00801EAE">
              <w:rPr>
                <w:sz w:val="20"/>
              </w:rPr>
              <w:t xml:space="preserve"> </w:t>
            </w:r>
            <w:r>
              <w:rPr>
                <w:sz w:val="20"/>
              </w:rPr>
              <w:t>twenty four (</w:t>
            </w:r>
            <w:r w:rsidRPr="00801EAE">
              <w:rPr>
                <w:sz w:val="20"/>
              </w:rPr>
              <w:t>2</w:t>
            </w:r>
            <w:r>
              <w:rPr>
                <w:sz w:val="20"/>
              </w:rPr>
              <w:t>4</w:t>
            </w:r>
            <w:r w:rsidRPr="00801EAE">
              <w:rPr>
                <w:sz w:val="20"/>
              </w:rPr>
              <w:t>) months of Note repayment.</w:t>
            </w:r>
          </w:p>
          <w:p w:rsidR="00F23136" w:rsidRPr="00801EAE" w:rsidRDefault="00F23136">
            <w:pPr>
              <w:rPr>
                <w:sz w:val="20"/>
              </w:rPr>
            </w:pPr>
          </w:p>
        </w:tc>
      </w:tr>
      <w:tr w:rsidR="003C18CC" w:rsidRPr="00801EAE">
        <w:tc>
          <w:tcPr>
            <w:tcW w:w="1818" w:type="dxa"/>
          </w:tcPr>
          <w:p w:rsidR="003C18CC" w:rsidRPr="00801EAE" w:rsidRDefault="003C18CC">
            <w:pPr>
              <w:tabs>
                <w:tab w:val="left" w:pos="-1980"/>
              </w:tabs>
              <w:spacing w:after="240"/>
              <w:rPr>
                <w:b/>
                <w:sz w:val="20"/>
              </w:rPr>
            </w:pPr>
            <w:r w:rsidRPr="006C1314">
              <w:rPr>
                <w:b/>
                <w:sz w:val="20"/>
              </w:rPr>
              <w:t xml:space="preserve">Change in Control </w:t>
            </w:r>
          </w:p>
        </w:tc>
        <w:tc>
          <w:tcPr>
            <w:tcW w:w="8190" w:type="dxa"/>
          </w:tcPr>
          <w:p w:rsidR="003C18CC" w:rsidRPr="003C18CC" w:rsidRDefault="003C18CC">
            <w:pPr>
              <w:rPr>
                <w:sz w:val="20"/>
              </w:rPr>
            </w:pPr>
            <w:r w:rsidRPr="00E0511B">
              <w:rPr>
                <w:sz w:val="20"/>
                <w:szCs w:val="22"/>
              </w:rPr>
              <w:t xml:space="preserve">If a Change of Control (as defined below) occurs prior to repayment of the Note and </w:t>
            </w:r>
            <w:r>
              <w:rPr>
                <w:sz w:val="20"/>
                <w:szCs w:val="22"/>
              </w:rPr>
              <w:t>Investor</w:t>
            </w:r>
            <w:r w:rsidRPr="00E0511B">
              <w:rPr>
                <w:sz w:val="20"/>
                <w:szCs w:val="22"/>
              </w:rPr>
              <w:t xml:space="preserve"> does not exercise its optional conversion into equity (described above), then </w:t>
            </w:r>
            <w:r>
              <w:rPr>
                <w:sz w:val="20"/>
                <w:szCs w:val="22"/>
              </w:rPr>
              <w:t xml:space="preserve">the Company </w:t>
            </w:r>
            <w:r w:rsidRPr="00E0511B">
              <w:rPr>
                <w:sz w:val="20"/>
                <w:szCs w:val="22"/>
              </w:rPr>
              <w:t xml:space="preserve">promises to pay the Holder an amount equal to 1.5 times the principal </w:t>
            </w:r>
            <w:r>
              <w:rPr>
                <w:sz w:val="20"/>
                <w:szCs w:val="22"/>
              </w:rPr>
              <w:t xml:space="preserve">and accrued interest </w:t>
            </w:r>
            <w:r w:rsidRPr="00E0511B">
              <w:rPr>
                <w:sz w:val="20"/>
                <w:szCs w:val="22"/>
              </w:rPr>
              <w:t>amount of this Note</w:t>
            </w:r>
            <w:r>
              <w:rPr>
                <w:sz w:val="20"/>
                <w:szCs w:val="22"/>
              </w:rPr>
              <w:t xml:space="preserve">.  </w:t>
            </w:r>
            <w:r w:rsidRPr="00E0511B">
              <w:rPr>
                <w:sz w:val="20"/>
                <w:szCs w:val="22"/>
              </w:rPr>
              <w:t xml:space="preserve"> The term "Change in Control" will include: (a) the sale, transfer or lease of all or substantially all of </w:t>
            </w:r>
            <w:r>
              <w:rPr>
                <w:sz w:val="20"/>
                <w:szCs w:val="22"/>
              </w:rPr>
              <w:t>the Company</w:t>
            </w:r>
            <w:r w:rsidRPr="00E0511B">
              <w:rPr>
                <w:sz w:val="20"/>
                <w:szCs w:val="22"/>
              </w:rPr>
              <w:t xml:space="preserve">'s assets; (b) the acquisition of </w:t>
            </w:r>
            <w:r>
              <w:rPr>
                <w:sz w:val="20"/>
                <w:szCs w:val="22"/>
              </w:rPr>
              <w:t>the Company</w:t>
            </w:r>
            <w:r w:rsidRPr="00E0511B">
              <w:rPr>
                <w:sz w:val="20"/>
                <w:szCs w:val="22"/>
              </w:rPr>
              <w:t xml:space="preserve"> by another party in which </w:t>
            </w:r>
            <w:r>
              <w:rPr>
                <w:sz w:val="20"/>
                <w:szCs w:val="22"/>
              </w:rPr>
              <w:t>the Company</w:t>
            </w:r>
            <w:r w:rsidRPr="00E0511B">
              <w:rPr>
                <w:sz w:val="20"/>
                <w:szCs w:val="22"/>
              </w:rPr>
              <w:t>'s equity holders immediately prio</w:t>
            </w:r>
            <w:r>
              <w:rPr>
                <w:sz w:val="20"/>
                <w:szCs w:val="22"/>
              </w:rPr>
              <w:t xml:space="preserve">r to the transaction </w:t>
            </w:r>
            <w:r>
              <w:rPr>
                <w:sz w:val="20"/>
                <w:szCs w:val="22"/>
              </w:rPr>
              <w:lastRenderedPageBreak/>
              <w:t>control les</w:t>
            </w:r>
            <w:r w:rsidRPr="00E0511B">
              <w:rPr>
                <w:sz w:val="20"/>
                <w:szCs w:val="22"/>
              </w:rPr>
              <w:t>s than a majority of the votin</w:t>
            </w:r>
            <w:r>
              <w:rPr>
                <w:sz w:val="20"/>
                <w:szCs w:val="22"/>
              </w:rPr>
              <w:t>g power of the surviving entity;</w:t>
            </w:r>
            <w:r w:rsidRPr="00E0511B">
              <w:rPr>
                <w:sz w:val="20"/>
                <w:szCs w:val="22"/>
              </w:rPr>
              <w:t xml:space="preserve"> but </w:t>
            </w:r>
            <w:r w:rsidRPr="00E0511B">
              <w:rPr>
                <w:i/>
                <w:sz w:val="20"/>
                <w:szCs w:val="22"/>
              </w:rPr>
              <w:t>not</w:t>
            </w:r>
            <w:r w:rsidRPr="00E0511B">
              <w:rPr>
                <w:sz w:val="20"/>
                <w:szCs w:val="22"/>
              </w:rPr>
              <w:t xml:space="preserve"> (c) a formal or informal liquidation of </w:t>
            </w:r>
            <w:r>
              <w:rPr>
                <w:sz w:val="20"/>
                <w:szCs w:val="22"/>
              </w:rPr>
              <w:t>the Company</w:t>
            </w:r>
            <w:r w:rsidRPr="00E0511B">
              <w:rPr>
                <w:sz w:val="20"/>
                <w:szCs w:val="22"/>
              </w:rPr>
              <w:t xml:space="preserve"> to pay creditors through a bankruptcy proceeding or otherwise.</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lastRenderedPageBreak/>
              <w:t>Default:</w:t>
            </w:r>
          </w:p>
        </w:tc>
        <w:tc>
          <w:tcPr>
            <w:tcW w:w="8190" w:type="dxa"/>
          </w:tcPr>
          <w:p w:rsidR="00F23136" w:rsidRPr="00801EAE" w:rsidRDefault="00F23136">
            <w:pPr>
              <w:rPr>
                <w:sz w:val="20"/>
              </w:rPr>
            </w:pPr>
            <w:r w:rsidRPr="00801EAE">
              <w:rPr>
                <w:sz w:val="20"/>
              </w:rPr>
              <w:t>The Note will be in default and all principal and accrued interest shall be due in full in the event of any of the following:</w:t>
            </w:r>
          </w:p>
          <w:p w:rsidR="00F23136" w:rsidRPr="00801EAE" w:rsidRDefault="00F23136">
            <w:pPr>
              <w:spacing w:before="240"/>
              <w:ind w:left="792" w:hanging="360"/>
              <w:rPr>
                <w:sz w:val="20"/>
              </w:rPr>
            </w:pPr>
            <w:r w:rsidRPr="00801EAE">
              <w:rPr>
                <w:sz w:val="20"/>
              </w:rPr>
              <w:t>(a)</w:t>
            </w:r>
            <w:r w:rsidRPr="00801EAE">
              <w:rPr>
                <w:sz w:val="20"/>
              </w:rPr>
              <w:tab/>
              <w:t>Failure to pay interest or principal when due;</w:t>
            </w:r>
          </w:p>
          <w:p w:rsidR="00F23136" w:rsidRPr="00801EAE" w:rsidRDefault="00F23136">
            <w:pPr>
              <w:ind w:left="792" w:hanging="360"/>
              <w:rPr>
                <w:sz w:val="20"/>
              </w:rPr>
            </w:pPr>
            <w:r w:rsidRPr="00801EAE">
              <w:rPr>
                <w:sz w:val="20"/>
              </w:rPr>
              <w:t>(b)</w:t>
            </w:r>
            <w:r w:rsidRPr="00801EAE">
              <w:rPr>
                <w:sz w:val="20"/>
              </w:rPr>
              <w:tab/>
              <w:t>Bankruptcy, insolvency or similar proceedings; or</w:t>
            </w:r>
          </w:p>
          <w:p w:rsidR="00F23136" w:rsidRPr="00801EAE" w:rsidRDefault="00F23136" w:rsidP="00F23136">
            <w:pPr>
              <w:spacing w:after="240"/>
              <w:ind w:left="792" w:hanging="360"/>
              <w:rPr>
                <w:sz w:val="20"/>
              </w:rPr>
            </w:pPr>
            <w:r w:rsidRPr="00801EAE">
              <w:rPr>
                <w:sz w:val="20"/>
              </w:rPr>
              <w:t>(c)</w:t>
            </w:r>
            <w:r w:rsidRPr="00801EAE">
              <w:rPr>
                <w:sz w:val="20"/>
              </w:rPr>
              <w:tab/>
              <w:t>Any material breach by the Company of the terms of the Note or other agreements with the Investor.</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Reports:</w:t>
            </w:r>
          </w:p>
        </w:tc>
        <w:tc>
          <w:tcPr>
            <w:tcW w:w="8190" w:type="dxa"/>
          </w:tcPr>
          <w:p w:rsidR="00F23136" w:rsidRPr="00801EAE" w:rsidRDefault="00F23136" w:rsidP="00F23136">
            <w:pPr>
              <w:tabs>
                <w:tab w:val="left" w:pos="-1980"/>
              </w:tabs>
              <w:spacing w:after="240"/>
              <w:rPr>
                <w:sz w:val="20"/>
              </w:rPr>
            </w:pPr>
            <w:r w:rsidRPr="00801EAE">
              <w:rPr>
                <w:sz w:val="20"/>
              </w:rPr>
              <w:t xml:space="preserve">The Company shall provide annual financial statements with footnotes prepared by a Certified Public Accountant (CPA) to the Investor within 120 days of </w:t>
            </w:r>
            <w:r>
              <w:rPr>
                <w:sz w:val="20"/>
              </w:rPr>
              <w:t xml:space="preserve">fiscal </w:t>
            </w:r>
            <w:r w:rsidRPr="00801EAE">
              <w:rPr>
                <w:sz w:val="20"/>
              </w:rPr>
              <w:t xml:space="preserve">year-end.  In addition, the Company shall provide to the Investor quarterly financial statements and a quarterly summary of business activity within 60 days of quarter-end and other information as reasonably requested by the Investor.  </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Board of Directors</w:t>
            </w:r>
          </w:p>
        </w:tc>
        <w:tc>
          <w:tcPr>
            <w:tcW w:w="8190" w:type="dxa"/>
          </w:tcPr>
          <w:p w:rsidR="00F23136" w:rsidRPr="00801EAE" w:rsidRDefault="00F23136" w:rsidP="00BC5626">
            <w:pPr>
              <w:tabs>
                <w:tab w:val="left" w:pos="-1980"/>
              </w:tabs>
              <w:spacing w:after="240"/>
              <w:rPr>
                <w:sz w:val="20"/>
              </w:rPr>
            </w:pPr>
            <w:r w:rsidRPr="00801EAE">
              <w:rPr>
                <w:sz w:val="20"/>
              </w:rPr>
              <w:t>The Investor will have the option of either appointing one director to the board or to have one observer present at all meetings of the board, including any committees thereof. If an observer is appointed, such person will be entitled to notice of meetings and to receive all information and materials provided to board members participating in such meetings or taking any action without a meeting, in any case at the same time as board members receive such notice and materials.</w:t>
            </w:r>
            <w:r>
              <w:rPr>
                <w:sz w:val="20"/>
              </w:rPr>
              <w:t xml:space="preserve"> </w:t>
            </w:r>
            <w:r w:rsidR="00BC5626">
              <w:rPr>
                <w:sz w:val="20"/>
              </w:rPr>
              <w:t>A</w:t>
            </w:r>
            <w:r>
              <w:rPr>
                <w:sz w:val="20"/>
              </w:rPr>
              <w:t xml:space="preserve"> majority of the directors </w:t>
            </w:r>
            <w:r w:rsidR="00BC5626">
              <w:rPr>
                <w:sz w:val="20"/>
              </w:rPr>
              <w:t xml:space="preserve">of the Company </w:t>
            </w:r>
            <w:r>
              <w:rPr>
                <w:sz w:val="20"/>
              </w:rPr>
              <w:t>will be disinterested. The Company shall use reasonable efforts to keep in full force and effect directors and officers insurance in a minimum agreed to amount.</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Most Favored Terms</w:t>
            </w:r>
          </w:p>
        </w:tc>
        <w:tc>
          <w:tcPr>
            <w:tcW w:w="8190" w:type="dxa"/>
          </w:tcPr>
          <w:p w:rsidR="00F23136" w:rsidRPr="00801EAE" w:rsidRDefault="00F23136" w:rsidP="00F23136">
            <w:pPr>
              <w:tabs>
                <w:tab w:val="left" w:pos="-1980"/>
              </w:tabs>
              <w:spacing w:after="240"/>
              <w:rPr>
                <w:sz w:val="20"/>
              </w:rPr>
            </w:pPr>
            <w:r w:rsidRPr="00801EAE">
              <w:rPr>
                <w:sz w:val="20"/>
              </w:rPr>
              <w:t>The Investor will be entitled to receive the benefit of any more favorable terms or conditions that may be provided to other lenders to, and/or investors in, the Company prior to the date that the Note is converted into capital stock of the Company.</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Amendment:</w:t>
            </w:r>
          </w:p>
        </w:tc>
        <w:tc>
          <w:tcPr>
            <w:tcW w:w="8190" w:type="dxa"/>
          </w:tcPr>
          <w:p w:rsidR="00F23136" w:rsidRPr="00801EAE" w:rsidRDefault="00F23136" w:rsidP="00F23136">
            <w:pPr>
              <w:tabs>
                <w:tab w:val="left" w:pos="-1980"/>
              </w:tabs>
              <w:spacing w:after="240"/>
              <w:rPr>
                <w:sz w:val="20"/>
              </w:rPr>
            </w:pPr>
            <w:r w:rsidRPr="00801EAE">
              <w:rPr>
                <w:sz w:val="20"/>
              </w:rPr>
              <w:t>The Note and any related agreements may be amended with the consent of the Company and the Investor.</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Due Diligence Documents</w:t>
            </w:r>
          </w:p>
        </w:tc>
        <w:tc>
          <w:tcPr>
            <w:tcW w:w="8190" w:type="dxa"/>
          </w:tcPr>
          <w:p w:rsidR="00F23136" w:rsidRPr="00801EAE" w:rsidRDefault="00F23136" w:rsidP="003C797C">
            <w:pPr>
              <w:tabs>
                <w:tab w:val="left" w:pos="-1980"/>
              </w:tabs>
              <w:spacing w:after="240"/>
              <w:rPr>
                <w:sz w:val="20"/>
              </w:rPr>
            </w:pPr>
            <w:r w:rsidRPr="00801EAE">
              <w:rPr>
                <w:sz w:val="20"/>
              </w:rPr>
              <w:t xml:space="preserve">The Company will provide the documents requested on </w:t>
            </w:r>
            <w:r w:rsidRPr="00801EAE">
              <w:rPr>
                <w:sz w:val="20"/>
                <w:u w:val="single"/>
              </w:rPr>
              <w:t>Attachment A</w:t>
            </w:r>
            <w:r w:rsidRPr="00801EAE">
              <w:rPr>
                <w:sz w:val="20"/>
              </w:rPr>
              <w:t>.</w:t>
            </w:r>
          </w:p>
        </w:tc>
      </w:tr>
      <w:tr w:rsidR="00F23136" w:rsidRPr="00801EAE">
        <w:tc>
          <w:tcPr>
            <w:tcW w:w="1818" w:type="dxa"/>
          </w:tcPr>
          <w:p w:rsidR="00F23136" w:rsidRPr="00801EAE" w:rsidRDefault="00F23136">
            <w:pPr>
              <w:tabs>
                <w:tab w:val="left" w:pos="-1980"/>
              </w:tabs>
              <w:spacing w:after="240"/>
              <w:rPr>
                <w:b/>
                <w:sz w:val="20"/>
              </w:rPr>
            </w:pPr>
            <w:r w:rsidRPr="00801EAE">
              <w:rPr>
                <w:b/>
                <w:sz w:val="20"/>
              </w:rPr>
              <w:t>Expenses:</w:t>
            </w:r>
          </w:p>
        </w:tc>
        <w:tc>
          <w:tcPr>
            <w:tcW w:w="8190" w:type="dxa"/>
          </w:tcPr>
          <w:p w:rsidR="00F23136" w:rsidRPr="007C0487" w:rsidRDefault="00F23136" w:rsidP="00F23136">
            <w:pPr>
              <w:tabs>
                <w:tab w:val="left" w:pos="-1980"/>
              </w:tabs>
              <w:spacing w:after="240"/>
              <w:rPr>
                <w:sz w:val="20"/>
              </w:rPr>
            </w:pPr>
            <w:r w:rsidRPr="00801EAE">
              <w:rPr>
                <w:sz w:val="20"/>
              </w:rPr>
              <w:t>The Company will be responsible for its own fees and expenses in connection with this transaction.  The Company shall reimburse the Investor for the fees and expenses of one counsel incurred in connection with this transaction.  Investor will provide investment documents based on this Term Sheet.</w:t>
            </w:r>
          </w:p>
        </w:tc>
      </w:tr>
    </w:tbl>
    <w:p w:rsidR="00F23136" w:rsidRDefault="00F23136" w:rsidP="00F23136">
      <w:pPr>
        <w:rPr>
          <w:b/>
        </w:rPr>
      </w:pPr>
    </w:p>
    <w:p w:rsidR="00F23136" w:rsidRPr="00CF3805" w:rsidRDefault="00F23136" w:rsidP="00F23136">
      <w:pPr>
        <w:rPr>
          <w:sz w:val="20"/>
        </w:rPr>
      </w:pPr>
    </w:p>
    <w:p w:rsidR="00F23136" w:rsidRPr="00CF3805" w:rsidRDefault="00F23136" w:rsidP="00F23136">
      <w:pPr>
        <w:rPr>
          <w:i/>
          <w:sz w:val="20"/>
        </w:rPr>
      </w:pPr>
      <w:r w:rsidRPr="00CF3805">
        <w:rPr>
          <w:i/>
          <w:sz w:val="20"/>
        </w:rPr>
        <w:t>NOTE:  For certain companies, the LLC may determine that rather than a convertible note it makes more sense to invest the award in an equity position</w:t>
      </w:r>
      <w:r>
        <w:rPr>
          <w:i/>
          <w:sz w:val="20"/>
        </w:rPr>
        <w:t>.</w:t>
      </w:r>
    </w:p>
    <w:p w:rsidR="00F23136" w:rsidRPr="00CF3805" w:rsidRDefault="00F23136" w:rsidP="00F23136">
      <w:pPr>
        <w:rPr>
          <w:sz w:val="20"/>
        </w:rPr>
      </w:pPr>
    </w:p>
    <w:p w:rsidR="00F23136" w:rsidRDefault="00F23136" w:rsidP="00F23136">
      <w:pPr>
        <w:rPr>
          <w:b/>
        </w:rPr>
      </w:pPr>
    </w:p>
    <w:p w:rsidR="00F23136" w:rsidRDefault="00F23136" w:rsidP="00F23136">
      <w:pPr>
        <w:rPr>
          <w:b/>
        </w:rPr>
      </w:pPr>
    </w:p>
    <w:p w:rsidR="00F23136" w:rsidRDefault="00F23136" w:rsidP="00F23136"/>
    <w:p w:rsidR="00F23136" w:rsidRDefault="00F23136" w:rsidP="00F23136">
      <w:pPr>
        <w:sectPr w:rsidR="00F23136">
          <w:headerReference w:type="even" r:id="rId7"/>
          <w:headerReference w:type="default" r:id="rId8"/>
          <w:footerReference w:type="even" r:id="rId9"/>
          <w:footerReference w:type="default" r:id="rId10"/>
          <w:headerReference w:type="first" r:id="rId11"/>
          <w:footerReference w:type="first" r:id="rId12"/>
          <w:pgSz w:w="12240" w:h="15840"/>
          <w:pgMar w:top="720" w:right="1800" w:bottom="1260" w:left="1800" w:header="720" w:footer="720" w:gutter="0"/>
          <w:cols w:space="720"/>
        </w:sectPr>
      </w:pPr>
    </w:p>
    <w:p w:rsidR="00F23136" w:rsidRPr="00464B3B" w:rsidRDefault="00F23136" w:rsidP="00F23136">
      <w:pPr>
        <w:jc w:val="center"/>
        <w:rPr>
          <w:rFonts w:ascii="Calibri" w:hAnsi="Calibri"/>
          <w:b/>
          <w:sz w:val="20"/>
          <w:szCs w:val="20"/>
        </w:rPr>
      </w:pPr>
      <w:r w:rsidRPr="00464B3B">
        <w:rPr>
          <w:rFonts w:ascii="Calibri" w:hAnsi="Calibri"/>
          <w:b/>
          <w:sz w:val="20"/>
          <w:szCs w:val="20"/>
        </w:rPr>
        <w:lastRenderedPageBreak/>
        <w:t>Attachment A</w:t>
      </w:r>
    </w:p>
    <w:p w:rsidR="00F23136" w:rsidRPr="00082434" w:rsidRDefault="000B2117" w:rsidP="00F23136">
      <w:pPr>
        <w:jc w:val="center"/>
        <w:rPr>
          <w:rFonts w:ascii="Calibri" w:hAnsi="Calibri"/>
          <w:b/>
          <w:sz w:val="20"/>
          <w:szCs w:val="20"/>
        </w:rPr>
      </w:pPr>
      <w:r w:rsidRPr="000B2117">
        <w:rPr>
          <w:rFonts w:ascii="Calibri" w:hAnsi="Calibri"/>
          <w:b/>
          <w:sz w:val="20"/>
          <w:szCs w:val="20"/>
        </w:rPr>
        <w:t xml:space="preserve">ROSEBURG AREA </w:t>
      </w:r>
      <w:r w:rsidR="00D86AEE">
        <w:rPr>
          <w:rFonts w:ascii="Calibri" w:hAnsi="Calibri"/>
          <w:b/>
          <w:sz w:val="20"/>
          <w:szCs w:val="20"/>
        </w:rPr>
        <w:t>ANGEL INVESTOR NETWORK 2014</w:t>
      </w:r>
      <w:r w:rsidRPr="000B2117">
        <w:rPr>
          <w:rFonts w:ascii="Calibri" w:hAnsi="Calibri"/>
          <w:b/>
          <w:sz w:val="20"/>
          <w:szCs w:val="20"/>
        </w:rPr>
        <w:t>, LLC</w:t>
      </w:r>
    </w:p>
    <w:p w:rsidR="00F23136" w:rsidRPr="00082434" w:rsidRDefault="00F23136" w:rsidP="00F23136">
      <w:pPr>
        <w:jc w:val="center"/>
        <w:rPr>
          <w:rFonts w:ascii="Calibri" w:hAnsi="Calibri"/>
          <w:b/>
          <w:sz w:val="20"/>
          <w:szCs w:val="20"/>
        </w:rPr>
      </w:pPr>
      <w:r w:rsidRPr="00F12BC4">
        <w:rPr>
          <w:rFonts w:ascii="Calibri" w:hAnsi="Calibri"/>
          <w:b/>
          <w:sz w:val="20"/>
          <w:szCs w:val="20"/>
        </w:rPr>
        <w:t>Due Diligence Document Request</w:t>
      </w:r>
    </w:p>
    <w:p w:rsidR="00F23136" w:rsidRPr="00464B3B" w:rsidRDefault="00F23136" w:rsidP="00F23136">
      <w:pPr>
        <w:jc w:val="center"/>
        <w:rPr>
          <w:rFonts w:ascii="Calibri" w:hAnsi="Calibri"/>
          <w:sz w:val="20"/>
          <w:szCs w:val="20"/>
        </w:rPr>
      </w:pPr>
      <w:bookmarkStart w:id="0" w:name="_GoBack"/>
      <w:bookmarkEnd w:id="0"/>
    </w:p>
    <w:p w:rsidR="00F23136" w:rsidRDefault="00F23136" w:rsidP="00F23136">
      <w:pPr>
        <w:rPr>
          <w:rFonts w:ascii="Calibri" w:hAnsi="Calibri"/>
          <w:sz w:val="20"/>
          <w:szCs w:val="20"/>
        </w:rPr>
      </w:pPr>
    </w:p>
    <w:p w:rsidR="00F23136" w:rsidRDefault="00F23136" w:rsidP="00F23136">
      <w:pPr>
        <w:rPr>
          <w:rFonts w:ascii="Calibri" w:hAnsi="Calibri"/>
          <w:sz w:val="20"/>
          <w:szCs w:val="20"/>
        </w:rPr>
      </w:pPr>
      <w:r>
        <w:rPr>
          <w:rFonts w:ascii="Calibri" w:hAnsi="Calibri"/>
          <w:sz w:val="20"/>
          <w:szCs w:val="20"/>
        </w:rPr>
        <w:t>Provide all information about the Company, including any subsidiaries, from the inception of the Company.  Reference to any “agreement” includes any oral agreement, and a written description of such oral agreement must be provided.  The Fund may request additional documentation on a case by case basis.</w:t>
      </w:r>
    </w:p>
    <w:p w:rsidR="00F23136" w:rsidRPr="00464B3B" w:rsidRDefault="00F23136" w:rsidP="00F23136">
      <w:pPr>
        <w:rPr>
          <w:rFonts w:ascii="Calibri" w:hAnsi="Calibri"/>
          <w:sz w:val="20"/>
          <w:szCs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40"/>
        <w:gridCol w:w="8370"/>
      </w:tblGrid>
      <w:tr w:rsidR="00F23136" w:rsidRPr="00801EAE">
        <w:tc>
          <w:tcPr>
            <w:tcW w:w="738" w:type="dxa"/>
          </w:tcPr>
          <w:p w:rsidR="00F23136" w:rsidRPr="00801EAE" w:rsidRDefault="00F23136" w:rsidP="00F23136">
            <w:pPr>
              <w:jc w:val="center"/>
              <w:rPr>
                <w:rFonts w:ascii="Calibri" w:hAnsi="Calibri"/>
                <w:sz w:val="12"/>
                <w:szCs w:val="12"/>
              </w:rPr>
            </w:pPr>
            <w:r w:rsidRPr="00801EAE">
              <w:rPr>
                <w:rFonts w:ascii="Calibri" w:hAnsi="Calibri"/>
                <w:sz w:val="12"/>
                <w:szCs w:val="12"/>
              </w:rPr>
              <w:t>Provided or N/A</w:t>
            </w: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Description</w:t>
            </w: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A</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Basic Corporate Information</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Articles/Certificate of Incorporation, Bylaws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A2</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Minutes/written consents of shareholders and Board of Directors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A3</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officers, directors and key employees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A4</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shareholders (and holders of options/warrants) setting forth the shares owned (or subject to option/warrant), and copies of all agreements related to the issuance of the shares (and options/warrants)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A5</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any shareholder (or buy-sell) agreement, voting agreement, investor rights agreement, registration agreement or any other agreement affecting the issuance, transfer or sale of shares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A6</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all promissory notes, credit agreements or other evidence of indebtedness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A7</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Most recent monthly and annual financial statements, including a current list of all accounts payable</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BC5626" w:rsidP="00F23136">
            <w:pPr>
              <w:rPr>
                <w:rFonts w:ascii="Calibri" w:hAnsi="Calibri"/>
                <w:sz w:val="20"/>
                <w:szCs w:val="20"/>
              </w:rPr>
            </w:pPr>
            <w:r>
              <w:rPr>
                <w:rFonts w:ascii="Calibri" w:hAnsi="Calibri"/>
                <w:sz w:val="20"/>
                <w:szCs w:val="20"/>
              </w:rPr>
              <w:t>A8</w:t>
            </w:r>
          </w:p>
        </w:tc>
        <w:tc>
          <w:tcPr>
            <w:tcW w:w="8370" w:type="dxa"/>
          </w:tcPr>
          <w:p w:rsidR="00F23136" w:rsidRPr="00801EAE" w:rsidRDefault="00BC5626" w:rsidP="00F23136">
            <w:pPr>
              <w:rPr>
                <w:rFonts w:ascii="Calibri" w:hAnsi="Calibri"/>
                <w:sz w:val="20"/>
                <w:szCs w:val="20"/>
              </w:rPr>
            </w:pPr>
            <w:r>
              <w:rPr>
                <w:rFonts w:ascii="Calibri" w:hAnsi="Calibri"/>
                <w:sz w:val="20"/>
                <w:szCs w:val="20"/>
              </w:rPr>
              <w:t>Any other financial or operating data that the Investor may request</w:t>
            </w:r>
          </w:p>
        </w:tc>
      </w:tr>
      <w:tr w:rsidR="00BC5626" w:rsidRPr="00801EAE">
        <w:tc>
          <w:tcPr>
            <w:tcW w:w="738" w:type="dxa"/>
          </w:tcPr>
          <w:p w:rsidR="00BC5626" w:rsidRPr="00801EAE" w:rsidRDefault="00BC5626" w:rsidP="00F23136">
            <w:pPr>
              <w:rPr>
                <w:rFonts w:ascii="Calibri" w:hAnsi="Calibri"/>
                <w:sz w:val="20"/>
                <w:szCs w:val="20"/>
              </w:rPr>
            </w:pPr>
          </w:p>
        </w:tc>
        <w:tc>
          <w:tcPr>
            <w:tcW w:w="540" w:type="dxa"/>
          </w:tcPr>
          <w:p w:rsidR="00BC5626" w:rsidRDefault="00BC5626" w:rsidP="00F23136">
            <w:pPr>
              <w:rPr>
                <w:rFonts w:ascii="Calibri" w:hAnsi="Calibri"/>
                <w:sz w:val="20"/>
                <w:szCs w:val="20"/>
              </w:rPr>
            </w:pPr>
          </w:p>
        </w:tc>
        <w:tc>
          <w:tcPr>
            <w:tcW w:w="8370" w:type="dxa"/>
          </w:tcPr>
          <w:p w:rsidR="00BC5626" w:rsidRDefault="00BC5626" w:rsidP="00F23136">
            <w:pPr>
              <w:rPr>
                <w:rFonts w:ascii="Calibri" w:hAnsi="Calibri"/>
                <w:sz w:val="20"/>
                <w:szCs w:val="20"/>
              </w:rPr>
            </w:pP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B</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Founders, Employees and Independent Contractors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B1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founders, employees and independent contractors, and all agreements between the Company and any such person</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B2</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employment agreements, independent contractor agreements, consulting agreements, and advisory board agreements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B3</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 xml:space="preserve">Copies of all proprietary information agreements, including any agreements related to assignment of inventions, work for hire, noncompetition and </w:t>
            </w:r>
            <w:proofErr w:type="spellStart"/>
            <w:r w:rsidRPr="00801EAE">
              <w:rPr>
                <w:rFonts w:ascii="Calibri" w:hAnsi="Calibri"/>
                <w:sz w:val="20"/>
                <w:szCs w:val="20"/>
              </w:rPr>
              <w:t>nonsolicitation</w:t>
            </w:r>
            <w:proofErr w:type="spellEnd"/>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B4</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any employee benefit plans, stock option plans, commission plans, bonus plans, and deferred compensation plans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color w:val="FF0000"/>
                <w:sz w:val="20"/>
                <w:szCs w:val="20"/>
              </w:rPr>
            </w:pP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C</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Intellectual Property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patents, patent applications (including provisional applications), registered trademarks, trademark applications, copyright registrations, and copies of documents related to such items of intellectual property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C2</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all inbound licenses of intellectual property (other than off-the-shelf software products)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C3</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all outbound licenses of intellectual property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C4</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persons who have contributed to the creation or development of intellectual property in any manner</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C5</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domain names used or owned by the Company, website terms of use and privacy policy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C6</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Description of any open source software incorporated into products, or plans to use open source software in the future</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D</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Material Contracts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D1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Copy of any office space lease</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D2</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Copy of any equipment leases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D3</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Copy of any manufacturing agreement, distribution agreement or reseller agreement</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D4</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Copy of any other agreement that is material to the Company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D5</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Copies of any material nondisclosure agreements</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E</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Litigation and Compliance</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E1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Description of all litigation, claims, proceedings, judgments, injunctions, consent decrees or orders against the Company, including any threats thereof, and a description of any claims the Company may have against any third party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E2</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all material government permits or licenses issued by any governmental agency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E3</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Description of any investigation, notice of noncompliance or fine from any governmental agency</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p>
        </w:tc>
      </w:tr>
      <w:tr w:rsidR="00F23136" w:rsidRPr="00801EAE">
        <w:tc>
          <w:tcPr>
            <w:tcW w:w="738" w:type="dxa"/>
          </w:tcPr>
          <w:p w:rsidR="00F23136" w:rsidRPr="00801EAE" w:rsidRDefault="00F23136" w:rsidP="00F23136">
            <w:pPr>
              <w:rPr>
                <w:rFonts w:ascii="Calibri" w:hAnsi="Calibri"/>
                <w:b/>
                <w:sz w:val="20"/>
                <w:szCs w:val="20"/>
              </w:rPr>
            </w:pPr>
          </w:p>
        </w:tc>
        <w:tc>
          <w:tcPr>
            <w:tcW w:w="540" w:type="dxa"/>
          </w:tcPr>
          <w:p w:rsidR="00F23136" w:rsidRPr="00801EAE" w:rsidRDefault="00F23136" w:rsidP="00F23136">
            <w:pPr>
              <w:rPr>
                <w:rFonts w:ascii="Calibri" w:hAnsi="Calibri"/>
                <w:b/>
                <w:sz w:val="20"/>
                <w:szCs w:val="20"/>
              </w:rPr>
            </w:pPr>
            <w:r w:rsidRPr="00801EAE">
              <w:rPr>
                <w:rFonts w:ascii="Calibri" w:hAnsi="Calibri"/>
                <w:b/>
                <w:sz w:val="20"/>
                <w:szCs w:val="20"/>
              </w:rPr>
              <w:t>F</w:t>
            </w:r>
          </w:p>
        </w:tc>
        <w:tc>
          <w:tcPr>
            <w:tcW w:w="8370" w:type="dxa"/>
          </w:tcPr>
          <w:p w:rsidR="00F23136" w:rsidRPr="00801EAE" w:rsidRDefault="00F23136" w:rsidP="00F23136">
            <w:pPr>
              <w:rPr>
                <w:rFonts w:ascii="Calibri" w:hAnsi="Calibri"/>
                <w:b/>
                <w:sz w:val="20"/>
                <w:szCs w:val="20"/>
              </w:rPr>
            </w:pPr>
            <w:r w:rsidRPr="00801EAE">
              <w:rPr>
                <w:rFonts w:ascii="Calibri" w:hAnsi="Calibri"/>
                <w:b/>
                <w:sz w:val="20"/>
                <w:szCs w:val="20"/>
              </w:rPr>
              <w:t>Other</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r w:rsidRPr="00801EAE">
              <w:rPr>
                <w:rFonts w:ascii="Calibri" w:hAnsi="Calibri"/>
                <w:sz w:val="20"/>
                <w:szCs w:val="20"/>
              </w:rPr>
              <w:t>F1</w:t>
            </w:r>
          </w:p>
        </w:tc>
        <w:tc>
          <w:tcPr>
            <w:tcW w:w="8370" w:type="dxa"/>
          </w:tcPr>
          <w:p w:rsidR="00F23136" w:rsidRPr="00801EAE" w:rsidRDefault="00F23136" w:rsidP="00F23136">
            <w:pPr>
              <w:rPr>
                <w:rFonts w:ascii="Calibri" w:hAnsi="Calibri"/>
                <w:sz w:val="20"/>
                <w:szCs w:val="20"/>
              </w:rPr>
            </w:pPr>
            <w:r w:rsidRPr="00801EAE">
              <w:rPr>
                <w:rFonts w:ascii="Calibri" w:hAnsi="Calibri"/>
                <w:sz w:val="20"/>
                <w:szCs w:val="20"/>
              </w:rPr>
              <w:t>List of any security interests, liens or encumbrances against the assets of the Company, together with supporting documentation</w:t>
            </w: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p>
        </w:tc>
      </w:tr>
      <w:tr w:rsidR="00F23136" w:rsidRPr="00801EAE">
        <w:tc>
          <w:tcPr>
            <w:tcW w:w="738" w:type="dxa"/>
          </w:tcPr>
          <w:p w:rsidR="00F23136" w:rsidRPr="00801EAE" w:rsidRDefault="00F23136" w:rsidP="00F23136">
            <w:pPr>
              <w:rPr>
                <w:rFonts w:ascii="Calibri" w:hAnsi="Calibri"/>
                <w:sz w:val="20"/>
                <w:szCs w:val="20"/>
              </w:rPr>
            </w:pPr>
          </w:p>
        </w:tc>
        <w:tc>
          <w:tcPr>
            <w:tcW w:w="540" w:type="dxa"/>
          </w:tcPr>
          <w:p w:rsidR="00F23136" w:rsidRPr="00801EAE" w:rsidRDefault="00F23136" w:rsidP="00F23136">
            <w:pPr>
              <w:rPr>
                <w:rFonts w:ascii="Calibri" w:hAnsi="Calibri"/>
                <w:sz w:val="20"/>
                <w:szCs w:val="20"/>
              </w:rPr>
            </w:pPr>
          </w:p>
        </w:tc>
        <w:tc>
          <w:tcPr>
            <w:tcW w:w="8370" w:type="dxa"/>
          </w:tcPr>
          <w:p w:rsidR="00F23136" w:rsidRPr="00801EAE" w:rsidRDefault="00F23136" w:rsidP="00F23136">
            <w:pPr>
              <w:rPr>
                <w:rFonts w:ascii="Calibri" w:hAnsi="Calibri"/>
                <w:sz w:val="20"/>
                <w:szCs w:val="20"/>
              </w:rPr>
            </w:pPr>
          </w:p>
        </w:tc>
      </w:tr>
    </w:tbl>
    <w:p w:rsidR="00F23136" w:rsidRDefault="00F23136" w:rsidP="00F23136"/>
    <w:p w:rsidR="00F23136" w:rsidRPr="005E1931" w:rsidRDefault="00F23136" w:rsidP="00F23136">
      <w:pPr>
        <w:rPr>
          <w:color w:val="FF0000"/>
        </w:rPr>
      </w:pPr>
    </w:p>
    <w:sectPr w:rsidR="00F23136" w:rsidRPr="005E1931" w:rsidSect="00F23136">
      <w:footerReference w:type="default" r:id="rId13"/>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239" w:rsidRDefault="002D2239" w:rsidP="00F23136">
      <w:r>
        <w:separator/>
      </w:r>
    </w:p>
  </w:endnote>
  <w:endnote w:type="continuationSeparator" w:id="0">
    <w:p w:rsidR="002D2239" w:rsidRDefault="002D2239" w:rsidP="00F23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36" w:rsidRDefault="007469D5" w:rsidP="00F23136">
    <w:pPr>
      <w:pStyle w:val="Footer"/>
      <w:framePr w:wrap="around" w:vAnchor="text" w:hAnchor="margin" w:xAlign="right" w:y="1"/>
      <w:rPr>
        <w:rStyle w:val="PageNumber"/>
        <w:rFonts w:ascii="Cambria" w:eastAsia="Cambria" w:hAnsi="Cambria"/>
      </w:rPr>
    </w:pPr>
    <w:r>
      <w:rPr>
        <w:rStyle w:val="PageNumber"/>
      </w:rPr>
      <w:fldChar w:fldCharType="begin"/>
    </w:r>
    <w:r w:rsidR="00F23136">
      <w:rPr>
        <w:rStyle w:val="PageNumber"/>
      </w:rPr>
      <w:instrText xml:space="preserve">PAGE  </w:instrText>
    </w:r>
    <w:r>
      <w:rPr>
        <w:rStyle w:val="PageNumber"/>
      </w:rPr>
      <w:fldChar w:fldCharType="end"/>
    </w:r>
  </w:p>
  <w:p w:rsidR="00F23136" w:rsidRDefault="00F23136" w:rsidP="00F231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36" w:rsidRDefault="00F23136" w:rsidP="00F23136">
    <w:pPr>
      <w:pStyle w:val="Footer"/>
      <w:framePr w:wrap="around" w:vAnchor="text" w:hAnchor="margin" w:xAlign="right" w:y="1"/>
      <w:rPr>
        <w:rStyle w:val="PageNumber"/>
        <w:rFonts w:ascii="Cambria" w:eastAsia="Cambria" w:hAnsi="Cambria"/>
      </w:rPr>
    </w:pPr>
  </w:p>
  <w:p w:rsidR="00F23136" w:rsidRPr="00E050C1" w:rsidRDefault="007469D5" w:rsidP="00F23136">
    <w:pPr>
      <w:pStyle w:val="Footer"/>
      <w:ind w:right="360"/>
      <w:rPr>
        <w:rFonts w:ascii="Cambria" w:hAnsi="Cambria"/>
        <w:sz w:val="20"/>
        <w:szCs w:val="20"/>
      </w:rPr>
    </w:pPr>
    <w:fldSimple w:instr=" PAGE   \* MERGEFORMAT ">
      <w:r w:rsidR="00B036E1" w:rsidRPr="00B036E1">
        <w:rPr>
          <w:rFonts w:ascii="Cambria" w:hAnsi="Cambria"/>
          <w:noProof/>
          <w:sz w:val="20"/>
          <w:szCs w:val="20"/>
        </w:rPr>
        <w:t>1</w:t>
      </w:r>
    </w:fldSimple>
    <w:r w:rsidR="00F23136">
      <w:rPr>
        <w:rFonts w:ascii="Cambria" w:hAnsi="Cambria"/>
        <w:sz w:val="20"/>
        <w:szCs w:val="20"/>
      </w:rPr>
      <w:t xml:space="preserve"> – </w:t>
    </w:r>
    <w:r w:rsidR="000B2117">
      <w:rPr>
        <w:rFonts w:ascii="Cambria" w:hAnsi="Cambria"/>
        <w:sz w:val="20"/>
        <w:szCs w:val="20"/>
      </w:rPr>
      <w:t xml:space="preserve">RAIN </w:t>
    </w:r>
    <w:r w:rsidR="007C0487">
      <w:rPr>
        <w:rFonts w:ascii="Cambria" w:hAnsi="Cambria"/>
        <w:sz w:val="20"/>
        <w:szCs w:val="20"/>
      </w:rPr>
      <w:t>2014</w:t>
    </w:r>
    <w:r w:rsidR="00F23136">
      <w:rPr>
        <w:rFonts w:ascii="Cambria" w:hAnsi="Cambria"/>
        <w:sz w:val="20"/>
        <w:szCs w:val="20"/>
      </w:rPr>
      <w:t xml:space="preserve"> Convertible Loan Term Sheet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03" w:rsidRDefault="00AD7F0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36" w:rsidRDefault="00F23136" w:rsidP="00F23136">
    <w:pPr>
      <w:pStyle w:val="Footer"/>
      <w:framePr w:wrap="around" w:vAnchor="text" w:hAnchor="margin" w:xAlign="right" w:y="1"/>
      <w:rPr>
        <w:rStyle w:val="PageNumber"/>
        <w:rFonts w:ascii="Cambria" w:eastAsia="Cambria" w:hAnsi="Cambria"/>
      </w:rPr>
    </w:pPr>
  </w:p>
  <w:p w:rsidR="00F23136" w:rsidRPr="00E050C1" w:rsidRDefault="007469D5" w:rsidP="00F23136">
    <w:pPr>
      <w:pStyle w:val="Footer"/>
      <w:ind w:right="360"/>
      <w:rPr>
        <w:rFonts w:ascii="Cambria" w:hAnsi="Cambria"/>
        <w:sz w:val="20"/>
        <w:szCs w:val="20"/>
      </w:rPr>
    </w:pPr>
    <w:fldSimple w:instr=" PAGE   \* MERGEFORMAT ">
      <w:r w:rsidR="00B036E1" w:rsidRPr="00B036E1">
        <w:rPr>
          <w:rFonts w:ascii="Cambria" w:hAnsi="Cambria"/>
          <w:noProof/>
          <w:sz w:val="20"/>
          <w:szCs w:val="20"/>
        </w:rPr>
        <w:t>2</w:t>
      </w:r>
    </w:fldSimple>
    <w:r w:rsidR="00F23136">
      <w:rPr>
        <w:rFonts w:ascii="Cambria" w:hAnsi="Cambria"/>
        <w:sz w:val="20"/>
        <w:szCs w:val="20"/>
      </w:rPr>
      <w:t xml:space="preserve"> – </w:t>
    </w:r>
    <w:r w:rsidR="000B2117">
      <w:rPr>
        <w:rFonts w:ascii="Cambria" w:hAnsi="Cambria"/>
        <w:sz w:val="20"/>
        <w:szCs w:val="20"/>
      </w:rPr>
      <w:t>RAIN</w:t>
    </w:r>
    <w:r w:rsidR="007C0487">
      <w:rPr>
        <w:rFonts w:ascii="Cambria" w:hAnsi="Cambria"/>
        <w:sz w:val="20"/>
        <w:szCs w:val="20"/>
      </w:rPr>
      <w:t xml:space="preserve"> 2014</w:t>
    </w:r>
    <w:r w:rsidR="00F23136">
      <w:rPr>
        <w:rFonts w:ascii="Cambria" w:hAnsi="Cambria"/>
        <w:sz w:val="20"/>
        <w:szCs w:val="20"/>
      </w:rPr>
      <w:t xml:space="preserve"> Due Diligence Attachment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239" w:rsidRDefault="002D2239" w:rsidP="00F23136">
      <w:r>
        <w:separator/>
      </w:r>
    </w:p>
  </w:footnote>
  <w:footnote w:type="continuationSeparator" w:id="0">
    <w:p w:rsidR="002D2239" w:rsidRDefault="002D2239" w:rsidP="00F23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03" w:rsidRDefault="00AD7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626" w:rsidRDefault="00BC5626" w:rsidP="00F23136">
    <w:pPr>
      <w:pStyle w:val="Header"/>
      <w:jc w:val="right"/>
      <w:rPr>
        <w:b/>
        <w:i/>
        <w:sz w:val="20"/>
      </w:rPr>
    </w:pPr>
  </w:p>
  <w:p w:rsidR="00F23136" w:rsidRPr="00BC5626" w:rsidRDefault="00F23136" w:rsidP="00F23136">
    <w:pPr>
      <w:pStyle w:val="Header"/>
      <w:jc w:val="right"/>
      <w:rPr>
        <w:b/>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03" w:rsidRDefault="00AD7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5E9"/>
    <w:multiLevelType w:val="hybridMultilevel"/>
    <w:tmpl w:val="6946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1B59"/>
    <w:multiLevelType w:val="hybridMultilevel"/>
    <w:tmpl w:val="CB446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7F764C"/>
    <w:multiLevelType w:val="hybridMultilevel"/>
    <w:tmpl w:val="22FC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54443"/>
    <w:multiLevelType w:val="hybridMultilevel"/>
    <w:tmpl w:val="DD38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D09C5"/>
    <w:multiLevelType w:val="hybridMultilevel"/>
    <w:tmpl w:val="59AA26E8"/>
    <w:lvl w:ilvl="0" w:tplc="3EB056A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E8A53D0"/>
    <w:multiLevelType w:val="multilevel"/>
    <w:tmpl w:val="DF1AA9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EB12583"/>
    <w:multiLevelType w:val="hybridMultilevel"/>
    <w:tmpl w:val="3C641648"/>
    <w:lvl w:ilvl="0" w:tplc="0DC0F75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0238C9"/>
    <w:multiLevelType w:val="hybridMultilevel"/>
    <w:tmpl w:val="7076D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892D34"/>
    <w:multiLevelType w:val="hybridMultilevel"/>
    <w:tmpl w:val="9DB0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90AFB"/>
    <w:multiLevelType w:val="hybridMultilevel"/>
    <w:tmpl w:val="3FECB552"/>
    <w:lvl w:ilvl="0" w:tplc="90C0A4DC">
      <w:start w:val="1"/>
      <w:numFmt w:val="decimal"/>
      <w:lvlText w:val="%1."/>
      <w:lvlJc w:val="left"/>
      <w:pPr>
        <w:ind w:left="1440" w:hanging="360"/>
      </w:pPr>
      <w:rPr>
        <w:rFonts w:ascii="Cambria" w:hAnsi="Cambria"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22140C"/>
    <w:multiLevelType w:val="hybridMultilevel"/>
    <w:tmpl w:val="7324C13C"/>
    <w:lvl w:ilvl="0" w:tplc="0C2088AA">
      <w:start w:val="2"/>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261CF1"/>
    <w:multiLevelType w:val="multilevel"/>
    <w:tmpl w:val="F922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02E7E52"/>
    <w:multiLevelType w:val="hybridMultilevel"/>
    <w:tmpl w:val="BA421104"/>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3">
    <w:nsid w:val="3C8035DB"/>
    <w:multiLevelType w:val="hybridMultilevel"/>
    <w:tmpl w:val="927E8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227C4B"/>
    <w:multiLevelType w:val="hybridMultilevel"/>
    <w:tmpl w:val="85BCE8D4"/>
    <w:lvl w:ilvl="0" w:tplc="2E6AF204">
      <w:start w:val="3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6E5718A"/>
    <w:multiLevelType w:val="hybridMultilevel"/>
    <w:tmpl w:val="1D584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540E4F"/>
    <w:multiLevelType w:val="hybridMultilevel"/>
    <w:tmpl w:val="C10A387E"/>
    <w:lvl w:ilvl="0" w:tplc="2E6AF204">
      <w:start w:val="3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45A55D3"/>
    <w:multiLevelType w:val="hybridMultilevel"/>
    <w:tmpl w:val="8E6EB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8B21B8"/>
    <w:multiLevelType w:val="hybridMultilevel"/>
    <w:tmpl w:val="A1DA9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2298C"/>
    <w:multiLevelType w:val="hybridMultilevel"/>
    <w:tmpl w:val="27E268CC"/>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5BEA6C13"/>
    <w:multiLevelType w:val="hybridMultilevel"/>
    <w:tmpl w:val="D06A2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4C071E"/>
    <w:multiLevelType w:val="hybridMultilevel"/>
    <w:tmpl w:val="85A0F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066E89"/>
    <w:multiLevelType w:val="multilevel"/>
    <w:tmpl w:val="3430A5B6"/>
    <w:lvl w:ilvl="0">
      <w:start w:val="1"/>
      <w:numFmt w:val="decimal"/>
      <w:lvlText w:val="%1."/>
      <w:lvlJc w:val="left"/>
      <w:pPr>
        <w:tabs>
          <w:tab w:val="num" w:pos="720"/>
        </w:tabs>
        <w:ind w:left="0" w:firstLine="720"/>
      </w:pPr>
      <w:rPr>
        <w:rFonts w:hint="default"/>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ind w:left="720" w:firstLine="14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D1E11BB"/>
    <w:multiLevelType w:val="hybridMultilevel"/>
    <w:tmpl w:val="EFDEACE0"/>
    <w:lvl w:ilvl="0" w:tplc="CBEA5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66885"/>
    <w:multiLevelType w:val="hybridMultilevel"/>
    <w:tmpl w:val="E72E85DA"/>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F351E51"/>
    <w:multiLevelType w:val="hybridMultilevel"/>
    <w:tmpl w:val="63DC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677ED2"/>
    <w:multiLevelType w:val="hybridMultilevel"/>
    <w:tmpl w:val="11040814"/>
    <w:lvl w:ilvl="0" w:tplc="2E6AF204">
      <w:start w:val="3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3997B5D"/>
    <w:multiLevelType w:val="hybridMultilevel"/>
    <w:tmpl w:val="D8FC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26"/>
  </w:num>
  <w:num w:numId="4">
    <w:abstractNumId w:val="11"/>
  </w:num>
  <w:num w:numId="5">
    <w:abstractNumId w:val="14"/>
  </w:num>
  <w:num w:numId="6">
    <w:abstractNumId w:val="24"/>
  </w:num>
  <w:num w:numId="7">
    <w:abstractNumId w:val="16"/>
  </w:num>
  <w:num w:numId="8">
    <w:abstractNumId w:val="12"/>
  </w:num>
  <w:num w:numId="9">
    <w:abstractNumId w:val="19"/>
  </w:num>
  <w:num w:numId="10">
    <w:abstractNumId w:val="21"/>
  </w:num>
  <w:num w:numId="11">
    <w:abstractNumId w:val="2"/>
  </w:num>
  <w:num w:numId="12">
    <w:abstractNumId w:val="18"/>
  </w:num>
  <w:num w:numId="13">
    <w:abstractNumId w:val="0"/>
  </w:num>
  <w:num w:numId="14">
    <w:abstractNumId w:val="1"/>
  </w:num>
  <w:num w:numId="15">
    <w:abstractNumId w:val="3"/>
  </w:num>
  <w:num w:numId="16">
    <w:abstractNumId w:val="15"/>
  </w:num>
  <w:num w:numId="17">
    <w:abstractNumId w:val="27"/>
  </w:num>
  <w:num w:numId="18">
    <w:abstractNumId w:val="20"/>
  </w:num>
  <w:num w:numId="19">
    <w:abstractNumId w:val="17"/>
  </w:num>
  <w:num w:numId="20">
    <w:abstractNumId w:val="10"/>
  </w:num>
  <w:num w:numId="21">
    <w:abstractNumId w:val="6"/>
  </w:num>
  <w:num w:numId="22">
    <w:abstractNumId w:val="8"/>
  </w:num>
  <w:num w:numId="23">
    <w:abstractNumId w:val="13"/>
  </w:num>
  <w:num w:numId="24">
    <w:abstractNumId w:val="9"/>
  </w:num>
  <w:num w:numId="25">
    <w:abstractNumId w:val="5"/>
  </w:num>
  <w:num w:numId="26">
    <w:abstractNumId w:val="7"/>
  </w:num>
  <w:num w:numId="27">
    <w:abstractNumId w:val="22"/>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C7692"/>
    <w:rsid w:val="000B2117"/>
    <w:rsid w:val="000D2888"/>
    <w:rsid w:val="001C7692"/>
    <w:rsid w:val="002D2239"/>
    <w:rsid w:val="003C18CC"/>
    <w:rsid w:val="003C797C"/>
    <w:rsid w:val="003D6423"/>
    <w:rsid w:val="0052180F"/>
    <w:rsid w:val="00615CEE"/>
    <w:rsid w:val="00745A30"/>
    <w:rsid w:val="007469D5"/>
    <w:rsid w:val="007C0487"/>
    <w:rsid w:val="009C5EBA"/>
    <w:rsid w:val="00A544D4"/>
    <w:rsid w:val="00AD7F03"/>
    <w:rsid w:val="00B036E1"/>
    <w:rsid w:val="00B43A6E"/>
    <w:rsid w:val="00BC5626"/>
    <w:rsid w:val="00C00577"/>
    <w:rsid w:val="00C2344E"/>
    <w:rsid w:val="00D86AEE"/>
    <w:rsid w:val="00DD1177"/>
    <w:rsid w:val="00F2313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F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E39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08DB"/>
    <w:pPr>
      <w:ind w:left="720"/>
      <w:contextualSpacing/>
    </w:pPr>
  </w:style>
  <w:style w:type="character" w:styleId="Hyperlink">
    <w:name w:val="Hyperlink"/>
    <w:basedOn w:val="DefaultParagraphFont"/>
    <w:uiPriority w:val="99"/>
    <w:rsid w:val="00945301"/>
    <w:rPr>
      <w:rFonts w:cs="Times New Roman"/>
      <w:color w:val="0000FF"/>
      <w:u w:val="single"/>
    </w:rPr>
  </w:style>
  <w:style w:type="paragraph" w:styleId="Footer">
    <w:name w:val="footer"/>
    <w:basedOn w:val="Normal"/>
    <w:link w:val="FooterChar"/>
    <w:uiPriority w:val="99"/>
    <w:semiHidden/>
    <w:rsid w:val="00945301"/>
    <w:pPr>
      <w:tabs>
        <w:tab w:val="center" w:pos="4320"/>
        <w:tab w:val="right" w:pos="8640"/>
      </w:tabs>
    </w:pPr>
    <w:rPr>
      <w:rFonts w:ascii="Arial" w:eastAsia="Times New Roman" w:hAnsi="Arial" w:cs="Arial"/>
    </w:rPr>
  </w:style>
  <w:style w:type="character" w:customStyle="1" w:styleId="FooterChar">
    <w:name w:val="Footer Char"/>
    <w:basedOn w:val="DefaultParagraphFont"/>
    <w:link w:val="Footer"/>
    <w:uiPriority w:val="99"/>
    <w:semiHidden/>
    <w:rsid w:val="00945301"/>
    <w:rPr>
      <w:rFonts w:ascii="Arial" w:eastAsia="Times New Roman" w:hAnsi="Arial" w:cs="Arial"/>
    </w:rPr>
  </w:style>
  <w:style w:type="character" w:styleId="PageNumber">
    <w:name w:val="page number"/>
    <w:basedOn w:val="DefaultParagraphFont"/>
    <w:uiPriority w:val="99"/>
    <w:rsid w:val="00945301"/>
    <w:rPr>
      <w:rFonts w:cs="Times New Roman"/>
    </w:rPr>
  </w:style>
  <w:style w:type="paragraph" w:styleId="BalloonText">
    <w:name w:val="Balloon Text"/>
    <w:basedOn w:val="Normal"/>
    <w:link w:val="BalloonTextChar"/>
    <w:uiPriority w:val="99"/>
    <w:semiHidden/>
    <w:unhideWhenUsed/>
    <w:rsid w:val="00945301"/>
    <w:rPr>
      <w:rFonts w:ascii="Lucida Grande" w:eastAsia="Times New Roman" w:hAnsi="Lucida Grande" w:cs="Arial"/>
      <w:sz w:val="18"/>
      <w:szCs w:val="18"/>
    </w:rPr>
  </w:style>
  <w:style w:type="character" w:customStyle="1" w:styleId="BalloonTextChar">
    <w:name w:val="Balloon Text Char"/>
    <w:basedOn w:val="DefaultParagraphFont"/>
    <w:link w:val="BalloonText"/>
    <w:uiPriority w:val="99"/>
    <w:semiHidden/>
    <w:rsid w:val="00945301"/>
    <w:rPr>
      <w:rFonts w:ascii="Lucida Grande" w:eastAsia="Times New Roman" w:hAnsi="Lucida Grande" w:cs="Arial"/>
      <w:sz w:val="18"/>
      <w:szCs w:val="18"/>
    </w:rPr>
  </w:style>
  <w:style w:type="paragraph" w:styleId="Header">
    <w:name w:val="header"/>
    <w:basedOn w:val="Normal"/>
    <w:link w:val="HeaderChar"/>
    <w:rsid w:val="00654ED6"/>
    <w:pPr>
      <w:tabs>
        <w:tab w:val="center" w:pos="4680"/>
        <w:tab w:val="right" w:pos="9360"/>
      </w:tabs>
    </w:pPr>
  </w:style>
  <w:style w:type="character" w:customStyle="1" w:styleId="HeaderChar">
    <w:name w:val="Header Char"/>
    <w:basedOn w:val="DefaultParagraphFont"/>
    <w:link w:val="Header"/>
    <w:rsid w:val="00654ED6"/>
  </w:style>
  <w:style w:type="paragraph" w:customStyle="1" w:styleId="p5">
    <w:name w:val="p5"/>
    <w:basedOn w:val="Normal"/>
    <w:rsid w:val="00805579"/>
    <w:pPr>
      <w:tabs>
        <w:tab w:val="left" w:pos="760"/>
        <w:tab w:val="left" w:pos="1500"/>
      </w:tabs>
      <w:spacing w:line="280" w:lineRule="atLeast"/>
      <w:ind w:left="1440" w:firstLine="720"/>
      <w:jc w:val="both"/>
    </w:pPr>
    <w:rPr>
      <w:rFonts w:ascii="Times" w:eastAsia="Times New Roman" w:hAnsi="Time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F93"/>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FE39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08DB"/>
    <w:pPr>
      <w:ind w:left="720"/>
      <w:contextualSpacing/>
    </w:pPr>
  </w:style>
  <w:style w:type="character" w:styleId="Hyperlink">
    <w:name w:val="Hyperlink"/>
    <w:basedOn w:val="DefaultParagraphFont"/>
    <w:uiPriority w:val="99"/>
    <w:rsid w:val="00945301"/>
    <w:rPr>
      <w:rFonts w:cs="Times New Roman"/>
      <w:color w:val="0000FF"/>
      <w:u w:val="single"/>
    </w:rPr>
  </w:style>
  <w:style w:type="paragraph" w:styleId="Footer">
    <w:name w:val="footer"/>
    <w:basedOn w:val="Normal"/>
    <w:link w:val="FooterChar"/>
    <w:uiPriority w:val="99"/>
    <w:semiHidden/>
    <w:rsid w:val="00945301"/>
    <w:pPr>
      <w:tabs>
        <w:tab w:val="center" w:pos="4320"/>
        <w:tab w:val="right" w:pos="8640"/>
      </w:tabs>
    </w:pPr>
    <w:rPr>
      <w:rFonts w:ascii="Arial" w:eastAsia="Times New Roman" w:hAnsi="Arial" w:cs="Arial"/>
    </w:rPr>
  </w:style>
  <w:style w:type="character" w:customStyle="1" w:styleId="FooterChar">
    <w:name w:val="Footer Char"/>
    <w:basedOn w:val="DefaultParagraphFont"/>
    <w:link w:val="Footer"/>
    <w:uiPriority w:val="99"/>
    <w:semiHidden/>
    <w:rsid w:val="00945301"/>
    <w:rPr>
      <w:rFonts w:ascii="Arial" w:eastAsia="Times New Roman" w:hAnsi="Arial" w:cs="Arial"/>
    </w:rPr>
  </w:style>
  <w:style w:type="character" w:styleId="PageNumber">
    <w:name w:val="page number"/>
    <w:basedOn w:val="DefaultParagraphFont"/>
    <w:uiPriority w:val="99"/>
    <w:rsid w:val="00945301"/>
    <w:rPr>
      <w:rFonts w:cs="Times New Roman"/>
    </w:rPr>
  </w:style>
  <w:style w:type="paragraph" w:styleId="BalloonText">
    <w:name w:val="Balloon Text"/>
    <w:basedOn w:val="Normal"/>
    <w:link w:val="BalloonTextChar"/>
    <w:uiPriority w:val="99"/>
    <w:semiHidden/>
    <w:unhideWhenUsed/>
    <w:rsid w:val="00945301"/>
    <w:rPr>
      <w:rFonts w:ascii="Lucida Grande" w:eastAsia="Times New Roman" w:hAnsi="Lucida Grande" w:cs="Arial"/>
      <w:sz w:val="18"/>
      <w:szCs w:val="18"/>
    </w:rPr>
  </w:style>
  <w:style w:type="character" w:customStyle="1" w:styleId="BalloonTextChar">
    <w:name w:val="Balloon Text Char"/>
    <w:basedOn w:val="DefaultParagraphFont"/>
    <w:link w:val="BalloonText"/>
    <w:uiPriority w:val="99"/>
    <w:semiHidden/>
    <w:rsid w:val="00945301"/>
    <w:rPr>
      <w:rFonts w:ascii="Lucida Grande" w:eastAsia="Times New Roman" w:hAnsi="Lucida Grande" w:cs="Arial"/>
      <w:sz w:val="18"/>
      <w:szCs w:val="18"/>
    </w:rPr>
  </w:style>
  <w:style w:type="paragraph" w:styleId="Header">
    <w:name w:val="header"/>
    <w:basedOn w:val="Normal"/>
    <w:link w:val="HeaderChar"/>
    <w:rsid w:val="00654ED6"/>
    <w:pPr>
      <w:tabs>
        <w:tab w:val="center" w:pos="4680"/>
        <w:tab w:val="right" w:pos="9360"/>
      </w:tabs>
    </w:pPr>
  </w:style>
  <w:style w:type="character" w:customStyle="1" w:styleId="HeaderChar">
    <w:name w:val="Header Char"/>
    <w:basedOn w:val="DefaultParagraphFont"/>
    <w:link w:val="Header"/>
    <w:rsid w:val="00654ED6"/>
  </w:style>
  <w:style w:type="paragraph" w:customStyle="1" w:styleId="p5">
    <w:name w:val="p5"/>
    <w:basedOn w:val="Normal"/>
    <w:rsid w:val="00805579"/>
    <w:pPr>
      <w:tabs>
        <w:tab w:val="left" w:pos="760"/>
        <w:tab w:val="left" w:pos="1500"/>
      </w:tabs>
      <w:spacing w:line="280" w:lineRule="atLeast"/>
      <w:ind w:left="1440" w:firstLine="720"/>
      <w:jc w:val="both"/>
    </w:pPr>
    <w:rPr>
      <w:rFonts w:ascii="Times" w:eastAsia="Times New Roman" w:hAnsi="Times"/>
      <w:szCs w:val="20"/>
    </w:rPr>
  </w:style>
</w:styles>
</file>

<file path=word/webSettings.xml><?xml version="1.0" encoding="utf-8"?>
<w:webSettings xmlns:r="http://schemas.openxmlformats.org/officeDocument/2006/relationships" xmlns:w="http://schemas.openxmlformats.org/wordprocessingml/2006/main">
  <w:divs>
    <w:div w:id="1246568453">
      <w:bodyDiv w:val="1"/>
      <w:marLeft w:val="0"/>
      <w:marRight w:val="0"/>
      <w:marTop w:val="0"/>
      <w:marBottom w:val="0"/>
      <w:divBdr>
        <w:top w:val="none" w:sz="0" w:space="0" w:color="auto"/>
        <w:left w:val="none" w:sz="0" w:space="0" w:color="auto"/>
        <w:bottom w:val="none" w:sz="0" w:space="0" w:color="auto"/>
        <w:right w:val="none" w:sz="0" w:space="0" w:color="auto"/>
      </w:divBdr>
      <w:divsChild>
        <w:div w:id="502356743">
          <w:marLeft w:val="547"/>
          <w:marRight w:val="0"/>
          <w:marTop w:val="0"/>
          <w:marBottom w:val="0"/>
          <w:divBdr>
            <w:top w:val="none" w:sz="0" w:space="0" w:color="auto"/>
            <w:left w:val="none" w:sz="0" w:space="0" w:color="auto"/>
            <w:bottom w:val="none" w:sz="0" w:space="0" w:color="auto"/>
            <w:right w:val="none" w:sz="0" w:space="0" w:color="auto"/>
          </w:divBdr>
        </w:div>
        <w:div w:id="624310674">
          <w:marLeft w:val="547"/>
          <w:marRight w:val="0"/>
          <w:marTop w:val="0"/>
          <w:marBottom w:val="0"/>
          <w:divBdr>
            <w:top w:val="none" w:sz="0" w:space="0" w:color="auto"/>
            <w:left w:val="none" w:sz="0" w:space="0" w:color="auto"/>
            <w:bottom w:val="none" w:sz="0" w:space="0" w:color="auto"/>
            <w:right w:val="none" w:sz="0" w:space="0" w:color="auto"/>
          </w:divBdr>
        </w:div>
        <w:div w:id="639069375">
          <w:marLeft w:val="547"/>
          <w:marRight w:val="0"/>
          <w:marTop w:val="0"/>
          <w:marBottom w:val="0"/>
          <w:divBdr>
            <w:top w:val="none" w:sz="0" w:space="0" w:color="auto"/>
            <w:left w:val="none" w:sz="0" w:space="0" w:color="auto"/>
            <w:bottom w:val="none" w:sz="0" w:space="0" w:color="auto"/>
            <w:right w:val="none" w:sz="0" w:space="0" w:color="auto"/>
          </w:divBdr>
        </w:div>
        <w:div w:id="818306353">
          <w:marLeft w:val="547"/>
          <w:marRight w:val="0"/>
          <w:marTop w:val="0"/>
          <w:marBottom w:val="0"/>
          <w:divBdr>
            <w:top w:val="none" w:sz="0" w:space="0" w:color="auto"/>
            <w:left w:val="none" w:sz="0" w:space="0" w:color="auto"/>
            <w:bottom w:val="none" w:sz="0" w:space="0" w:color="auto"/>
            <w:right w:val="none" w:sz="0" w:space="0" w:color="auto"/>
          </w:divBdr>
        </w:div>
        <w:div w:id="189727307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White &amp; Lee</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Huston</dc:creator>
  <cp:lastModifiedBy>GByrne</cp:lastModifiedBy>
  <cp:revision>2</cp:revision>
  <cp:lastPrinted>2012-02-08T23:05:00Z</cp:lastPrinted>
  <dcterms:created xsi:type="dcterms:W3CDTF">2014-07-01T23:20:00Z</dcterms:created>
  <dcterms:modified xsi:type="dcterms:W3CDTF">2014-07-01T23:20:00Z</dcterms:modified>
</cp:coreProperties>
</file>